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0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坪山区坑梓街道、宝安区松岗街道、</w:t>
      </w:r>
    </w:p>
    <w:p>
      <w:pPr>
        <w:spacing w:line="40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光明区新湖街道</w:t>
      </w:r>
    </w:p>
    <w:p>
      <w:pPr>
        <w:spacing w:line="40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三个项目物业定位研究服务</w:t>
      </w:r>
    </w:p>
    <w:p>
      <w:pPr>
        <w:spacing w:line="480" w:lineRule="atLeast"/>
        <w:jc w:val="center"/>
        <w:rPr>
          <w:rFonts w:ascii="宋体" w:hAnsi="宋体"/>
          <w:color w:val="0D0D0D" w:themeColor="text1" w:themeTint="F2"/>
          <w:sz w:val="48"/>
          <w:szCs w:val="36"/>
          <w14:textFill>
            <w14:solidFill>
              <w14:schemeClr w14:val="tx1">
                <w14:lumMod w14:val="95000"/>
                <w14:lumOff w14:val="5000"/>
              </w14:schemeClr>
            </w14:solidFill>
          </w14:textFill>
        </w:rPr>
      </w:pPr>
      <w:r>
        <w:rPr>
          <w:rFonts w:hint="eastAsia" w:ascii="宋体" w:hAnsi="宋体"/>
          <w:color w:val="0D0D0D" w:themeColor="text1" w:themeTint="F2"/>
          <w:sz w:val="48"/>
          <w:szCs w:val="36"/>
          <w14:textFill>
            <w14:solidFill>
              <w14:schemeClr w14:val="tx1">
                <w14:lumMod w14:val="95000"/>
                <w14:lumOff w14:val="5000"/>
              </w14:schemeClr>
            </w14:solidFill>
          </w14:textFill>
        </w:rPr>
        <w:t>（二次）</w:t>
      </w:r>
    </w:p>
    <w:p>
      <w:pPr>
        <w:spacing w:line="480" w:lineRule="atLeast"/>
        <w:jc w:val="center"/>
        <w:rPr>
          <w:rFonts w:ascii="宋体" w:hAnsi="宋体"/>
          <w:b/>
          <w:color w:val="0D0D0D" w:themeColor="text1" w:themeTint="F2"/>
          <w:sz w:val="2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r>
        <w:rPr>
          <w:rFonts w:hint="eastAsia" w:hAnsi="宋体"/>
          <w:b/>
          <w:bCs/>
          <w:color w:val="0D0D0D" w:themeColor="text1" w:themeTint="F2"/>
          <w:spacing w:val="70"/>
          <w:sz w:val="32"/>
          <w:szCs w:val="32"/>
          <w:u w:val="single"/>
          <w14:textFill>
            <w14:solidFill>
              <w14:schemeClr w14:val="tx1">
                <w14:lumMod w14:val="95000"/>
                <w14:lumOff w14:val="5000"/>
              </w14:schemeClr>
            </w14:solidFill>
          </w14:textFill>
        </w:rPr>
        <w:t xml:space="preserve"> </w:t>
      </w:r>
      <w:bookmarkStart w:id="0" w:name="_Hlk88673277"/>
      <w:r>
        <w:rPr>
          <w:rFonts w:hint="eastAsia" w:hAnsi="宋体"/>
          <w:b/>
          <w:bCs/>
          <w:color w:val="0D0D0D" w:themeColor="text1" w:themeTint="F2"/>
          <w:sz w:val="32"/>
          <w:szCs w:val="32"/>
          <w:u w:val="single"/>
          <w14:textFill>
            <w14:solidFill>
              <w14:schemeClr w14:val="tx1">
                <w14:lumMod w14:val="95000"/>
                <w14:lumOff w14:val="5000"/>
              </w14:schemeClr>
            </w14:solidFill>
          </w14:textFill>
        </w:rPr>
        <w:t>深圳地铁置业集团有限公司</w:t>
      </w:r>
      <w:bookmarkEnd w:id="0"/>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pStyle w:val="24"/>
        <w:snapToGrid w:val="0"/>
        <w:spacing w:line="480" w:lineRule="atLeast"/>
        <w:ind w:firstLine="1259" w:firstLineChars="392"/>
        <w:rPr>
          <w:rFonts w:hAnsi="宋体"/>
          <w:b/>
          <w:bCs/>
          <w:color w:val="0D0D0D" w:themeColor="text1" w:themeTint="F2"/>
          <w:sz w:val="32"/>
          <w:szCs w:val="32"/>
          <w:u w:val="single"/>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1"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李武雄           </w:t>
      </w:r>
    </w:p>
    <w:p>
      <w:pPr>
        <w:spacing w:line="480" w:lineRule="atLeast"/>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二〇二二年一月</w:t>
      </w:r>
      <w:r>
        <w:rPr>
          <w:rFonts w:ascii="宋体" w:hAnsi="宋体"/>
          <w:b/>
          <w:color w:val="0D0D0D" w:themeColor="text1" w:themeTint="F2"/>
          <w:sz w:val="36"/>
          <w14:textFill>
            <w14:solidFill>
              <w14:schemeClr w14:val="tx1">
                <w14:lumMod w14:val="95000"/>
                <w14:lumOff w14:val="5000"/>
              </w14:schemeClr>
            </w14:solidFill>
          </w14:textFill>
        </w:rPr>
        <w:br w:type="page"/>
      </w: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2" w:name="_Toc188623169"/>
      <w:bookmarkStart w:id="3" w:name="_Toc385992323"/>
      <w:bookmarkStart w:id="4" w:name="_Toc389620163"/>
      <w:bookmarkStart w:id="5" w:name="_Toc497549383"/>
    </w:p>
    <w:p>
      <w:pPr>
        <w:pStyle w:val="32"/>
        <w:tabs>
          <w:tab w:val="right" w:leader="dot" w:pos="9323"/>
        </w:tabs>
        <w:ind w:firstLine="560"/>
        <w:rPr>
          <w:rFonts w:asciiTheme="minorHAnsi" w:hAnsiTheme="minorHAnsi" w:eastAsiaTheme="minorEastAsia" w:cstheme="minorBidi"/>
          <w:color w:val="auto"/>
          <w:sz w:val="21"/>
          <w:szCs w:val="22"/>
        </w:rPr>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1"/>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fldChar w:fldCharType="begin"/>
      </w:r>
      <w:r>
        <w:instrText xml:space="preserve"> HYPERLINK \l "_Toc88680677" </w:instrText>
      </w:r>
      <w:r>
        <w:fldChar w:fldCharType="separate"/>
      </w:r>
      <w:r>
        <w:rPr>
          <w:rStyle w:val="53"/>
          <w:rFonts w:ascii="宋体" w:hAnsi="宋体"/>
        </w:rPr>
        <w:t>致参选人</w:t>
      </w:r>
      <w:r>
        <w:tab/>
      </w:r>
      <w:r>
        <w:fldChar w:fldCharType="begin"/>
      </w:r>
      <w:r>
        <w:instrText xml:space="preserve"> PAGEREF _Toc88680677 \h </w:instrText>
      </w:r>
      <w:r>
        <w:fldChar w:fldCharType="separate"/>
      </w:r>
      <w:r>
        <w:t>4</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"_Toc88680678" </w:instrText>
      </w:r>
      <w:r>
        <w:fldChar w:fldCharType="separate"/>
      </w:r>
      <w:r>
        <w:rPr>
          <w:rStyle w:val="53"/>
          <w:rFonts w:ascii="宋体" w:hAnsi="宋体"/>
        </w:rPr>
        <w:t>参选文件无效和废标的情形摘要</w:t>
      </w:r>
      <w:r>
        <w:tab/>
      </w:r>
      <w:r>
        <w:fldChar w:fldCharType="begin"/>
      </w:r>
      <w:r>
        <w:instrText xml:space="preserve"> PAGEREF _Toc88680678 \h </w:instrText>
      </w:r>
      <w:r>
        <w:fldChar w:fldCharType="separate"/>
      </w:r>
      <w:r>
        <w:t>5</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"_Toc88680679" </w:instrText>
      </w:r>
      <w:r>
        <w:fldChar w:fldCharType="separate"/>
      </w:r>
      <w:r>
        <w:rPr>
          <w:rStyle w:val="53"/>
          <w:rFonts w:ascii="宋体" w:hAnsi="宋体"/>
        </w:rPr>
        <w:t>比选公告</w:t>
      </w:r>
      <w:r>
        <w:tab/>
      </w:r>
      <w:r>
        <w:fldChar w:fldCharType="begin"/>
      </w:r>
      <w:r>
        <w:instrText xml:space="preserve"> PAGEREF _Toc88680679 \h </w:instrText>
      </w:r>
      <w:r>
        <w:fldChar w:fldCharType="separate"/>
      </w:r>
      <w:r>
        <w:t>7</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"_Toc88680680" </w:instrText>
      </w:r>
      <w:r>
        <w:fldChar w:fldCharType="separate"/>
      </w:r>
      <w:r>
        <w:rPr>
          <w:rStyle w:val="53"/>
          <w:rFonts w:ascii="宋体" w:hAnsi="宋体"/>
        </w:rPr>
        <w:t>比选须知</w:t>
      </w:r>
      <w:r>
        <w:tab/>
      </w:r>
      <w:r>
        <w:fldChar w:fldCharType="begin"/>
      </w:r>
      <w:r>
        <w:instrText xml:space="preserve"> PAGEREF _Toc88680680 \h </w:instrText>
      </w:r>
      <w:r>
        <w:fldChar w:fldCharType="separate"/>
      </w:r>
      <w:r>
        <w:t>10</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"_Toc88680681" </w:instrText>
      </w:r>
      <w:r>
        <w:fldChar w:fldCharType="separate"/>
      </w:r>
      <w:r>
        <w:rPr>
          <w:rStyle w:val="53"/>
          <w:rFonts w:ascii="宋体" w:hAnsi="宋体"/>
          <w:b/>
          <w:bCs/>
        </w:rPr>
        <w:t>第一章 总则</w:t>
      </w:r>
      <w:r>
        <w:tab/>
      </w:r>
      <w:r>
        <w:fldChar w:fldCharType="begin"/>
      </w:r>
      <w:r>
        <w:instrText xml:space="preserve"> PAGEREF _Toc88680681 \h </w:instrText>
      </w:r>
      <w:r>
        <w:fldChar w:fldCharType="separate"/>
      </w:r>
      <w:r>
        <w:t>10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"_Toc88680682" </w:instrText>
      </w:r>
      <w:r>
        <w:fldChar w:fldCharType="separate"/>
      </w:r>
      <w:r>
        <w:rPr>
          <w:rStyle w:val="53"/>
          <w:rFonts w:ascii="宋体" w:hAnsi="宋体"/>
          <w:bCs/>
        </w:rPr>
        <w:t>一、项目概况</w:t>
      </w:r>
      <w:r>
        <w:tab/>
      </w:r>
      <w:r>
        <w:fldChar w:fldCharType="begin"/>
      </w:r>
      <w:r>
        <w:instrText xml:space="preserve"> PAGEREF _Toc88680682 \h </w:instrText>
      </w:r>
      <w:r>
        <w:fldChar w:fldCharType="separate"/>
      </w:r>
      <w:r>
        <w:t>10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"_Toc88680683" </w:instrText>
      </w:r>
      <w:r>
        <w:fldChar w:fldCharType="separate"/>
      </w:r>
      <w:r>
        <w:rPr>
          <w:rStyle w:val="53"/>
          <w:rFonts w:ascii="宋体" w:hAnsi="宋体"/>
          <w:bCs/>
        </w:rPr>
        <w:t>二、服务内容</w:t>
      </w:r>
      <w:r>
        <w:tab/>
      </w:r>
      <w:r>
        <w:fldChar w:fldCharType="begin"/>
      </w:r>
      <w:r>
        <w:instrText xml:space="preserve"> PAGEREF _Toc88680683 \h </w:instrText>
      </w:r>
      <w:r>
        <w:fldChar w:fldCharType="separate"/>
      </w:r>
      <w:r>
        <w:t>10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"_Toc88680684" </w:instrText>
      </w:r>
      <w:r>
        <w:fldChar w:fldCharType="separate"/>
      </w:r>
      <w:r>
        <w:rPr>
          <w:rStyle w:val="53"/>
          <w:rFonts w:ascii="宋体" w:hAnsi="宋体"/>
          <w:bCs/>
        </w:rPr>
        <w:t>二、工作方式及服务期限</w:t>
      </w:r>
      <w:r>
        <w:tab/>
      </w:r>
      <w:r>
        <w:fldChar w:fldCharType="begin"/>
      </w:r>
      <w:r>
        <w:instrText xml:space="preserve"> PAGEREF _Toc88680684 \h </w:instrText>
      </w:r>
      <w:r>
        <w:fldChar w:fldCharType="separate"/>
      </w:r>
      <w:r>
        <w:t>11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"_Toc88680685" </w:instrText>
      </w:r>
      <w:r>
        <w:fldChar w:fldCharType="separate"/>
      </w:r>
      <w:r>
        <w:rPr>
          <w:rStyle w:val="53"/>
          <w:rFonts w:ascii="宋体" w:hAnsi="宋体"/>
          <w:bCs/>
        </w:rPr>
        <w:t>三、参选人资格条件</w:t>
      </w:r>
      <w:r>
        <w:tab/>
      </w:r>
      <w:r>
        <w:fldChar w:fldCharType="begin"/>
      </w:r>
      <w:r>
        <w:instrText xml:space="preserve"> PAGEREF _Toc88680685 \h </w:instrText>
      </w:r>
      <w:r>
        <w:fldChar w:fldCharType="separate"/>
      </w:r>
      <w:r>
        <w:t>12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"_Toc88680686" </w:instrText>
      </w:r>
      <w:r>
        <w:fldChar w:fldCharType="separate"/>
      </w:r>
      <w:r>
        <w:rPr>
          <w:rStyle w:val="53"/>
          <w:rFonts w:ascii="宋体" w:hAnsi="宋体"/>
          <w:bCs/>
        </w:rPr>
        <w:t>四、比选的时间安排</w:t>
      </w:r>
      <w:r>
        <w:tab/>
      </w:r>
      <w:r>
        <w:fldChar w:fldCharType="begin"/>
      </w:r>
      <w:r>
        <w:instrText xml:space="preserve"> PAGEREF _Toc88680686 \h </w:instrText>
      </w:r>
      <w:r>
        <w:fldChar w:fldCharType="separate"/>
      </w:r>
      <w:r>
        <w:t>12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"_Toc88680687" </w:instrText>
      </w:r>
      <w:r>
        <w:fldChar w:fldCharType="separate"/>
      </w:r>
      <w:r>
        <w:rPr>
          <w:rStyle w:val="53"/>
          <w:rFonts w:ascii="宋体" w:hAnsi="宋体"/>
          <w:bCs/>
        </w:rPr>
        <w:t>五、参选费用</w:t>
      </w:r>
      <w:r>
        <w:tab/>
      </w:r>
      <w:r>
        <w:fldChar w:fldCharType="begin"/>
      </w:r>
      <w:r>
        <w:instrText xml:space="preserve"> PAGEREF _Toc88680687 \h </w:instrText>
      </w:r>
      <w:r>
        <w:fldChar w:fldCharType="separate"/>
      </w:r>
      <w:r>
        <w:t>13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"_Toc88680688" </w:instrText>
      </w:r>
      <w:r>
        <w:fldChar w:fldCharType="separate"/>
      </w:r>
      <w:r>
        <w:rPr>
          <w:rStyle w:val="53"/>
          <w:rFonts w:ascii="宋体" w:hAnsi="宋体"/>
          <w:bCs/>
        </w:rPr>
        <w:t>六、参选报价限价</w:t>
      </w:r>
      <w:r>
        <w:tab/>
      </w:r>
      <w:r>
        <w:fldChar w:fldCharType="begin"/>
      </w:r>
      <w:r>
        <w:instrText xml:space="preserve"> PAGEREF _Toc88680688 \h </w:instrText>
      </w:r>
      <w:r>
        <w:fldChar w:fldCharType="separate"/>
      </w:r>
      <w:r>
        <w:t>13</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"_Toc88680689" </w:instrText>
      </w:r>
      <w:r>
        <w:fldChar w:fldCharType="separate"/>
      </w:r>
      <w:r>
        <w:rPr>
          <w:rStyle w:val="53"/>
          <w:rFonts w:ascii="宋体" w:hAnsi="宋体"/>
          <w:b/>
          <w:bCs/>
        </w:rPr>
        <w:t>第二章 比选文件</w:t>
      </w:r>
      <w:r>
        <w:tab/>
      </w:r>
      <w:r>
        <w:fldChar w:fldCharType="begin"/>
      </w:r>
      <w:r>
        <w:instrText xml:space="preserve"> PAGEREF _Toc88680689 \h </w:instrText>
      </w:r>
      <w:r>
        <w:fldChar w:fldCharType="separate"/>
      </w:r>
      <w:r>
        <w:t>13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"_Toc88680690" </w:instrText>
      </w:r>
      <w:r>
        <w:fldChar w:fldCharType="separate"/>
      </w:r>
      <w:r>
        <w:rPr>
          <w:rStyle w:val="53"/>
          <w:rFonts w:ascii="宋体" w:hAnsi="宋体"/>
          <w:bCs/>
        </w:rPr>
        <w:t>一、比选文件的构成</w:t>
      </w:r>
      <w:r>
        <w:tab/>
      </w:r>
      <w:r>
        <w:fldChar w:fldCharType="begin"/>
      </w:r>
      <w:r>
        <w:instrText xml:space="preserve"> PAGEREF _Toc88680690 \h </w:instrText>
      </w:r>
      <w:r>
        <w:fldChar w:fldCharType="separate"/>
      </w:r>
      <w:r>
        <w:t>13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"_Toc88680691" </w:instrText>
      </w:r>
      <w:r>
        <w:fldChar w:fldCharType="separate"/>
      </w:r>
      <w:r>
        <w:rPr>
          <w:rStyle w:val="53"/>
          <w:rFonts w:ascii="宋体" w:hAnsi="宋体"/>
          <w:bCs/>
        </w:rPr>
        <w:t>二、比选文件的补遗、澄清、修改</w:t>
      </w:r>
      <w:r>
        <w:tab/>
      </w:r>
      <w:r>
        <w:fldChar w:fldCharType="begin"/>
      </w:r>
      <w:r>
        <w:instrText xml:space="preserve"> PAGEREF _Toc88680691 \h </w:instrText>
      </w:r>
      <w:r>
        <w:fldChar w:fldCharType="separate"/>
      </w:r>
      <w:r>
        <w:t>13</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"_Toc88680692" </w:instrText>
      </w:r>
      <w:r>
        <w:fldChar w:fldCharType="separate"/>
      </w:r>
      <w:r>
        <w:rPr>
          <w:rStyle w:val="53"/>
          <w:rFonts w:ascii="宋体" w:hAnsi="宋体"/>
          <w:b/>
          <w:bCs/>
        </w:rPr>
        <w:t>第三章  参选文件的编写</w:t>
      </w:r>
      <w:r>
        <w:tab/>
      </w:r>
      <w:r>
        <w:fldChar w:fldCharType="begin"/>
      </w:r>
      <w:r>
        <w:instrText xml:space="preserve"> PAGEREF _Toc88680692 \h </w:instrText>
      </w:r>
      <w:r>
        <w:fldChar w:fldCharType="separate"/>
      </w:r>
      <w:r>
        <w:t>14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"_Toc88680693" </w:instrText>
      </w:r>
      <w:r>
        <w:fldChar w:fldCharType="separate"/>
      </w:r>
      <w:r>
        <w:rPr>
          <w:rStyle w:val="53"/>
          <w:rFonts w:ascii="宋体" w:hAnsi="宋体"/>
          <w:bCs/>
        </w:rPr>
        <w:t>一、参选文件的组成及要求</w:t>
      </w:r>
      <w:r>
        <w:tab/>
      </w:r>
      <w:r>
        <w:fldChar w:fldCharType="begin"/>
      </w:r>
      <w:r>
        <w:instrText xml:space="preserve"> PAGEREF _Toc88680693 \h </w:instrText>
      </w:r>
      <w:r>
        <w:fldChar w:fldCharType="separate"/>
      </w:r>
      <w:r>
        <w:t>14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"_Toc88680694" </w:instrText>
      </w:r>
      <w:r>
        <w:fldChar w:fldCharType="separate"/>
      </w:r>
      <w:r>
        <w:rPr>
          <w:rStyle w:val="53"/>
          <w:rFonts w:ascii="宋体" w:hAnsi="宋体"/>
          <w:bCs/>
        </w:rPr>
        <w:t>二、参选文件内容编写要求</w:t>
      </w:r>
      <w:r>
        <w:tab/>
      </w:r>
      <w:r>
        <w:fldChar w:fldCharType="begin"/>
      </w:r>
      <w:r>
        <w:instrText xml:space="preserve"> PAGEREF _Toc88680694 \h </w:instrText>
      </w:r>
      <w:r>
        <w:fldChar w:fldCharType="separate"/>
      </w:r>
      <w:r>
        <w:t>14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"_Toc88680695" </w:instrText>
      </w:r>
      <w:r>
        <w:fldChar w:fldCharType="separate"/>
      </w:r>
      <w:r>
        <w:rPr>
          <w:rStyle w:val="53"/>
          <w:rFonts w:ascii="宋体" w:hAnsi="宋体"/>
          <w:bCs/>
        </w:rPr>
        <w:t>三、参选人的承诺</w:t>
      </w:r>
      <w:r>
        <w:tab/>
      </w:r>
      <w:r>
        <w:fldChar w:fldCharType="begin"/>
      </w:r>
      <w:r>
        <w:instrText xml:space="preserve"> PAGEREF _Toc88680695 \h </w:instrText>
      </w:r>
      <w:r>
        <w:fldChar w:fldCharType="separate"/>
      </w:r>
      <w:r>
        <w:t>16</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"_Toc88680696" </w:instrText>
      </w:r>
      <w:r>
        <w:fldChar w:fldCharType="separate"/>
      </w:r>
      <w:r>
        <w:rPr>
          <w:rStyle w:val="53"/>
          <w:rFonts w:ascii="宋体" w:hAnsi="宋体"/>
          <w:b/>
          <w:bCs/>
        </w:rPr>
        <w:t>第四章 参选文件的签章及封装要求</w:t>
      </w:r>
      <w:r>
        <w:tab/>
      </w:r>
      <w:r>
        <w:fldChar w:fldCharType="begin"/>
      </w:r>
      <w:r>
        <w:instrText xml:space="preserve"> PAGEREF _Toc88680696 \h </w:instrText>
      </w:r>
      <w:r>
        <w:fldChar w:fldCharType="separate"/>
      </w:r>
      <w:r>
        <w:t>17</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"_Toc88680697" </w:instrText>
      </w:r>
      <w:r>
        <w:fldChar w:fldCharType="separate"/>
      </w:r>
      <w:r>
        <w:rPr>
          <w:rStyle w:val="53"/>
          <w:rFonts w:ascii="宋体" w:hAnsi="宋体"/>
          <w:b/>
          <w:bCs/>
        </w:rPr>
        <w:t>第五章 参选文件递交</w:t>
      </w:r>
      <w:r>
        <w:tab/>
      </w:r>
      <w:r>
        <w:fldChar w:fldCharType="begin"/>
      </w:r>
      <w:r>
        <w:instrText xml:space="preserve"> PAGEREF _Toc88680697 \h </w:instrText>
      </w:r>
      <w:r>
        <w:fldChar w:fldCharType="separate"/>
      </w:r>
      <w:r>
        <w:t>18</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"_Toc88680698" </w:instrText>
      </w:r>
      <w:r>
        <w:fldChar w:fldCharType="separate"/>
      </w:r>
      <w:r>
        <w:rPr>
          <w:rStyle w:val="53"/>
          <w:rFonts w:ascii="宋体" w:hAnsi="宋体"/>
          <w:b/>
          <w:bCs/>
        </w:rPr>
        <w:t>第六章  参选有效期</w:t>
      </w:r>
      <w:r>
        <w:tab/>
      </w:r>
      <w:r>
        <w:fldChar w:fldCharType="begin"/>
      </w:r>
      <w:r>
        <w:instrText xml:space="preserve"> PAGEREF _Toc88680698 \h </w:instrText>
      </w:r>
      <w:r>
        <w:fldChar w:fldCharType="separate"/>
      </w:r>
      <w:r>
        <w:t>18</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"_Toc88680699" </w:instrText>
      </w:r>
      <w:r>
        <w:fldChar w:fldCharType="separate"/>
      </w:r>
      <w:r>
        <w:rPr>
          <w:rStyle w:val="53"/>
          <w:rFonts w:ascii="宋体" w:hAnsi="宋体"/>
          <w:b/>
          <w:bCs/>
        </w:rPr>
        <w:t>第七章  开标</w:t>
      </w:r>
      <w:r>
        <w:tab/>
      </w:r>
      <w:r>
        <w:fldChar w:fldCharType="begin"/>
      </w:r>
      <w:r>
        <w:instrText xml:space="preserve"> PAGEREF _Toc88680699 \h </w:instrText>
      </w:r>
      <w:r>
        <w:fldChar w:fldCharType="separate"/>
      </w:r>
      <w:r>
        <w:t>18</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"_Toc88680700" </w:instrText>
      </w:r>
      <w:r>
        <w:fldChar w:fldCharType="separate"/>
      </w:r>
      <w:r>
        <w:rPr>
          <w:rStyle w:val="53"/>
          <w:rFonts w:ascii="宋体" w:hAnsi="宋体"/>
          <w:b/>
          <w:bCs/>
        </w:rPr>
        <w:t>第八章 评标</w:t>
      </w:r>
      <w:r>
        <w:tab/>
      </w:r>
      <w:r>
        <w:fldChar w:fldCharType="begin"/>
      </w:r>
      <w:r>
        <w:instrText xml:space="preserve"> PAGEREF _Toc88680700 \h </w:instrText>
      </w:r>
      <w:r>
        <w:fldChar w:fldCharType="separate"/>
      </w:r>
      <w:r>
        <w:t>19</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"_Toc88680701" </w:instrText>
      </w:r>
      <w:r>
        <w:fldChar w:fldCharType="separate"/>
      </w:r>
      <w:r>
        <w:rPr>
          <w:rStyle w:val="53"/>
          <w:rFonts w:ascii="宋体" w:hAnsi="宋体"/>
          <w:b/>
          <w:bCs/>
        </w:rPr>
        <w:t>第九章  确定中选人</w:t>
      </w:r>
      <w:r>
        <w:tab/>
      </w:r>
      <w:r>
        <w:fldChar w:fldCharType="begin"/>
      </w:r>
      <w:r>
        <w:instrText xml:space="preserve"> PAGEREF _Toc88680701 \h </w:instrText>
      </w:r>
      <w:r>
        <w:fldChar w:fldCharType="separate"/>
      </w:r>
      <w:r>
        <w:t>21</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"_Toc88680702" </w:instrText>
      </w:r>
      <w:r>
        <w:fldChar w:fldCharType="separate"/>
      </w:r>
      <w:r>
        <w:rPr>
          <w:rStyle w:val="53"/>
          <w:rFonts w:ascii="宋体" w:hAnsi="宋体"/>
          <w:b/>
          <w:bCs/>
        </w:rPr>
        <w:t>第十章  合同的授予</w:t>
      </w:r>
      <w:r>
        <w:tab/>
      </w:r>
      <w:r>
        <w:fldChar w:fldCharType="begin"/>
      </w:r>
      <w:r>
        <w:instrText xml:space="preserve"> PAGEREF _Toc88680702 \h </w:instrText>
      </w:r>
      <w:r>
        <w:fldChar w:fldCharType="separate"/>
      </w:r>
      <w:r>
        <w:t>22</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"_Toc88680703" </w:instrText>
      </w:r>
      <w:r>
        <w:fldChar w:fldCharType="separate"/>
      </w:r>
      <w:r>
        <w:rPr>
          <w:rStyle w:val="53"/>
          <w:rFonts w:ascii="宋体" w:hAnsi="宋体"/>
          <w:b/>
          <w:bCs/>
        </w:rPr>
        <w:t>附件</w:t>
      </w:r>
      <w:r>
        <w:tab/>
      </w:r>
      <w:r>
        <w:fldChar w:fldCharType="begin"/>
      </w:r>
      <w:r>
        <w:instrText xml:space="preserve"> PAGEREF _Toc88680703 \h </w:instrText>
      </w:r>
      <w:r>
        <w:fldChar w:fldCharType="separate"/>
      </w:r>
      <w:r>
        <w:t>22</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"_Toc88680704" </w:instrText>
      </w:r>
      <w:r>
        <w:fldChar w:fldCharType="separate"/>
      </w:r>
      <w:r>
        <w:rPr>
          <w:rStyle w:val="53"/>
          <w:rFonts w:ascii="宋体" w:hAnsi="宋体"/>
        </w:rPr>
        <w:t>第一篇 评标办法</w:t>
      </w:r>
      <w:r>
        <w:tab/>
      </w:r>
      <w:r>
        <w:fldChar w:fldCharType="begin"/>
      </w:r>
      <w:r>
        <w:instrText xml:space="preserve"> PAGEREF _Toc88680704 \h </w:instrText>
      </w:r>
      <w:r>
        <w:fldChar w:fldCharType="separate"/>
      </w:r>
      <w:r>
        <w:t>22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"_Toc88680705" </w:instrText>
      </w:r>
      <w:r>
        <w:fldChar w:fldCharType="separate"/>
      </w:r>
      <w:r>
        <w:rPr>
          <w:rStyle w:val="53"/>
          <w:rFonts w:ascii="宋体" w:hAnsi="宋体"/>
          <w:bCs/>
        </w:rPr>
        <w:t>一、总则</w:t>
      </w:r>
      <w:r>
        <w:tab/>
      </w:r>
      <w:r>
        <w:fldChar w:fldCharType="begin"/>
      </w:r>
      <w:r>
        <w:instrText xml:space="preserve"> PAGEREF _Toc88680705 \h </w:instrText>
      </w:r>
      <w:r>
        <w:fldChar w:fldCharType="separate"/>
      </w:r>
      <w:r>
        <w:t>22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"_Toc88680706" </w:instrText>
      </w:r>
      <w:r>
        <w:fldChar w:fldCharType="separate"/>
      </w:r>
      <w:r>
        <w:rPr>
          <w:rStyle w:val="53"/>
          <w:rFonts w:ascii="宋体" w:hAnsi="宋体"/>
          <w:bCs/>
        </w:rPr>
        <w:t>二、评定标组织</w:t>
      </w:r>
      <w:r>
        <w:tab/>
      </w:r>
      <w:r>
        <w:fldChar w:fldCharType="begin"/>
      </w:r>
      <w:r>
        <w:instrText xml:space="preserve"> PAGEREF _Toc88680706 \h </w:instrText>
      </w:r>
      <w:r>
        <w:fldChar w:fldCharType="separate"/>
      </w:r>
      <w:r>
        <w:t>22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"_Toc88680707" </w:instrText>
      </w:r>
      <w:r>
        <w:fldChar w:fldCharType="separate"/>
      </w:r>
      <w:r>
        <w:rPr>
          <w:rStyle w:val="53"/>
          <w:rFonts w:ascii="宋体" w:hAnsi="宋体"/>
          <w:bCs/>
        </w:rPr>
        <w:t>三、评标方法与程序</w:t>
      </w:r>
      <w:r>
        <w:tab/>
      </w:r>
      <w:r>
        <w:fldChar w:fldCharType="begin"/>
      </w:r>
      <w:r>
        <w:instrText xml:space="preserve"> PAGEREF _Toc88680707 \h </w:instrText>
      </w:r>
      <w:r>
        <w:fldChar w:fldCharType="separate"/>
      </w:r>
      <w:r>
        <w:t>23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"_Toc88680708" </w:instrText>
      </w:r>
      <w:r>
        <w:fldChar w:fldCharType="separate"/>
      </w:r>
      <w:r>
        <w:rPr>
          <w:rStyle w:val="53"/>
          <w:rFonts w:ascii="宋体" w:hAnsi="宋体"/>
          <w:bCs/>
        </w:rPr>
        <w:t>四、评审标准</w:t>
      </w:r>
      <w:r>
        <w:tab/>
      </w:r>
      <w:r>
        <w:fldChar w:fldCharType="begin"/>
      </w:r>
      <w:r>
        <w:instrText xml:space="preserve"> PAGEREF _Toc88680708 \h </w:instrText>
      </w:r>
      <w:r>
        <w:fldChar w:fldCharType="separate"/>
      </w:r>
      <w:r>
        <w:t>25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"_Toc88680709" </w:instrText>
      </w:r>
      <w:r>
        <w:fldChar w:fldCharType="separate"/>
      </w:r>
      <w:r>
        <w:rPr>
          <w:rStyle w:val="53"/>
          <w:rFonts w:ascii="宋体" w:hAnsi="宋体"/>
          <w:bCs/>
        </w:rPr>
        <w:t>五、中选价确定原则</w:t>
      </w:r>
      <w:r>
        <w:tab/>
      </w:r>
      <w:r>
        <w:fldChar w:fldCharType="begin"/>
      </w:r>
      <w:r>
        <w:instrText xml:space="preserve"> PAGEREF _Toc88680709 \h </w:instrText>
      </w:r>
      <w:r>
        <w:fldChar w:fldCharType="separate"/>
      </w:r>
      <w:r>
        <w:t>25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"_Toc88680710" </w:instrText>
      </w:r>
      <w:r>
        <w:fldChar w:fldCharType="separate"/>
      </w:r>
      <w:r>
        <w:rPr>
          <w:rStyle w:val="53"/>
          <w:rFonts w:ascii="宋体" w:hAnsi="宋体"/>
          <w:bCs/>
        </w:rPr>
        <w:t>六、定标</w:t>
      </w:r>
      <w:r>
        <w:tab/>
      </w:r>
      <w:r>
        <w:fldChar w:fldCharType="begin"/>
      </w:r>
      <w:r>
        <w:instrText xml:space="preserve"> PAGEREF _Toc88680710 \h </w:instrText>
      </w:r>
      <w:r>
        <w:fldChar w:fldCharType="separate"/>
      </w:r>
      <w:r>
        <w:t>26</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"_Toc88680711" </w:instrText>
      </w:r>
      <w:r>
        <w:fldChar w:fldCharType="separate"/>
      </w:r>
      <w:r>
        <w:rPr>
          <w:rStyle w:val="53"/>
          <w:rFonts w:ascii="宋体" w:hAnsi="宋体"/>
          <w:bCs/>
        </w:rPr>
        <w:t>七、评标守则</w:t>
      </w:r>
      <w:r>
        <w:tab/>
      </w:r>
      <w:r>
        <w:fldChar w:fldCharType="begin"/>
      </w:r>
      <w:r>
        <w:instrText xml:space="preserve"> PAGEREF _Toc88680711 \h </w:instrText>
      </w:r>
      <w:r>
        <w:fldChar w:fldCharType="separate"/>
      </w:r>
      <w:r>
        <w:t>26</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"_Toc88680712" </w:instrText>
      </w:r>
      <w:r>
        <w:fldChar w:fldCharType="separate"/>
      </w:r>
      <w:r>
        <w:rPr>
          <w:rStyle w:val="53"/>
          <w:rFonts w:ascii="宋体" w:hAnsi="宋体"/>
        </w:rPr>
        <w:t>第二篇  参选文件格式</w:t>
      </w:r>
      <w:r>
        <w:tab/>
      </w:r>
      <w:r>
        <w:fldChar w:fldCharType="begin"/>
      </w:r>
      <w:r>
        <w:instrText xml:space="preserve"> PAGEREF _Toc88680712 \h </w:instrText>
      </w:r>
      <w:r>
        <w:fldChar w:fldCharType="separate"/>
      </w:r>
      <w:r>
        <w:t>45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"_Toc88680713" </w:instrText>
      </w:r>
      <w:r>
        <w:fldChar w:fldCharType="separate"/>
      </w:r>
      <w:r>
        <w:rPr>
          <w:rStyle w:val="53"/>
          <w:rFonts w:ascii="宋体" w:hAnsi="宋体"/>
        </w:rPr>
        <w:t>第一章</w:t>
      </w:r>
      <w:r>
        <w:tab/>
      </w:r>
      <w:r>
        <w:fldChar w:fldCharType="begin"/>
      </w:r>
      <w:r>
        <w:instrText xml:space="preserve"> PAGEREF _Toc88680713 \h </w:instrText>
      </w:r>
      <w:r>
        <w:fldChar w:fldCharType="separate"/>
      </w:r>
      <w:r>
        <w:t>46</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"_Toc88680714" </w:instrText>
      </w:r>
      <w:r>
        <w:fldChar w:fldCharType="separate"/>
      </w:r>
      <w:r>
        <w:rPr>
          <w:rStyle w:val="53"/>
          <w:rFonts w:ascii="宋体" w:hAnsi="宋体"/>
        </w:rPr>
        <w:t>一、</w:t>
      </w:r>
      <w:r>
        <w:rPr>
          <w:rFonts w:asciiTheme="minorHAnsi" w:hAnsiTheme="minorHAnsi" w:eastAsiaTheme="minorEastAsia" w:cstheme="minorBidi"/>
          <w:sz w:val="21"/>
          <w:szCs w:val="22"/>
        </w:rPr>
        <w:tab/>
      </w:r>
      <w:r>
        <w:rPr>
          <w:rStyle w:val="53"/>
          <w:rFonts w:ascii="宋体" w:hAnsi="宋体"/>
        </w:rPr>
        <w:t>参选人营业执照复印件（加盖公章）</w:t>
      </w:r>
      <w:r>
        <w:tab/>
      </w:r>
      <w:r>
        <w:fldChar w:fldCharType="begin"/>
      </w:r>
      <w:r>
        <w:instrText xml:space="preserve"> PAGEREF _Toc88680714 \h </w:instrText>
      </w:r>
      <w:r>
        <w:fldChar w:fldCharType="separate"/>
      </w:r>
      <w:r>
        <w:t>48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"_Toc88680715" </w:instrText>
      </w:r>
      <w:r>
        <w:fldChar w:fldCharType="separate"/>
      </w:r>
      <w:r>
        <w:rPr>
          <w:rStyle w:val="53"/>
          <w:rFonts w:ascii="宋体" w:hAnsi="宋体"/>
        </w:rPr>
        <w:t>二、法定代表人资格证明书</w:t>
      </w:r>
      <w:r>
        <w:tab/>
      </w:r>
      <w:r>
        <w:fldChar w:fldCharType="begin"/>
      </w:r>
      <w:r>
        <w:instrText xml:space="preserve"> PAGEREF _Toc88680715 \h </w:instrText>
      </w:r>
      <w:r>
        <w:fldChar w:fldCharType="separate"/>
      </w:r>
      <w:r>
        <w:t>49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"_Toc88680716" </w:instrText>
      </w:r>
      <w:r>
        <w:fldChar w:fldCharType="separate"/>
      </w:r>
      <w:r>
        <w:rPr>
          <w:rStyle w:val="53"/>
          <w:rFonts w:ascii="宋体" w:hAnsi="宋体"/>
        </w:rPr>
        <w:t>三、法定代表人身份证</w:t>
      </w:r>
      <w:r>
        <w:rPr>
          <w:rStyle w:val="53"/>
          <w:rFonts w:hint="eastAsia" w:ascii="宋体" w:hAnsi="宋体"/>
        </w:rPr>
        <w:t>件</w:t>
      </w:r>
      <w:r>
        <w:rPr>
          <w:rStyle w:val="53"/>
          <w:rFonts w:ascii="宋体" w:hAnsi="宋体"/>
        </w:rPr>
        <w:t>复印件</w:t>
      </w:r>
      <w:r>
        <w:tab/>
      </w:r>
      <w:r>
        <w:fldChar w:fldCharType="begin"/>
      </w:r>
      <w:r>
        <w:instrText xml:space="preserve"> PAGEREF _Toc88680716 \h </w:instrText>
      </w:r>
      <w:r>
        <w:fldChar w:fldCharType="separate"/>
      </w:r>
      <w:r>
        <w:t>50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"_Toc88680717" </w:instrText>
      </w:r>
      <w:r>
        <w:fldChar w:fldCharType="separate"/>
      </w:r>
      <w:r>
        <w:rPr>
          <w:rStyle w:val="53"/>
          <w:rFonts w:ascii="宋体" w:hAnsi="宋体"/>
        </w:rPr>
        <w:t>四、法定代表人授权委托书【如递交比选文件人不是法定代表人时提供】</w:t>
      </w:r>
      <w:r>
        <w:tab/>
      </w:r>
      <w:r>
        <w:fldChar w:fldCharType="begin"/>
      </w:r>
      <w:r>
        <w:instrText xml:space="preserve"> PAGEREF _Toc88680717 \h </w:instrText>
      </w:r>
      <w:r>
        <w:fldChar w:fldCharType="separate"/>
      </w:r>
      <w:r>
        <w:t>51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"_Toc88680718" </w:instrText>
      </w:r>
      <w:r>
        <w:fldChar w:fldCharType="separate"/>
      </w:r>
      <w:r>
        <w:rPr>
          <w:rStyle w:val="53"/>
          <w:rFonts w:ascii="宋体" w:hAnsi="宋体"/>
        </w:rPr>
        <w:t>五、被授权人身份证复印件【如递交比选文件人不是法定代表人时提供】</w:t>
      </w:r>
      <w:r>
        <w:tab/>
      </w:r>
      <w:r>
        <w:fldChar w:fldCharType="begin"/>
      </w:r>
      <w:r>
        <w:instrText xml:space="preserve"> PAGEREF _Toc88680718 \h </w:instrText>
      </w:r>
      <w:r>
        <w:fldChar w:fldCharType="separate"/>
      </w:r>
      <w:r>
        <w:t>52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"_Toc88680719" </w:instrText>
      </w:r>
      <w:r>
        <w:fldChar w:fldCharType="separate"/>
      </w:r>
      <w:r>
        <w:rPr>
          <w:rStyle w:val="53"/>
          <w:rFonts w:ascii="宋体" w:hAnsi="宋体"/>
          <w:bCs/>
        </w:rPr>
        <w:t>六、参选业绩证明材料（加盖公章）</w:t>
      </w:r>
      <w:r>
        <w:tab/>
      </w:r>
      <w:r>
        <w:fldChar w:fldCharType="begin"/>
      </w:r>
      <w:r>
        <w:instrText xml:space="preserve"> PAGEREF _Toc88680719 \h </w:instrText>
      </w:r>
      <w:r>
        <w:fldChar w:fldCharType="separate"/>
      </w:r>
      <w:r>
        <w:t>53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"_Toc88680720" </w:instrText>
      </w:r>
      <w:r>
        <w:fldChar w:fldCharType="separate"/>
      </w:r>
      <w:r>
        <w:rPr>
          <w:rStyle w:val="53"/>
          <w:rFonts w:ascii="宋体" w:hAnsi="宋体"/>
        </w:rPr>
        <w:t>第二章</w:t>
      </w:r>
      <w:r>
        <w:tab/>
      </w:r>
      <w:r>
        <w:fldChar w:fldCharType="begin"/>
      </w:r>
      <w:r>
        <w:instrText xml:space="preserve"> PAGEREF _Toc88680720 \h </w:instrText>
      </w:r>
      <w:r>
        <w:fldChar w:fldCharType="separate"/>
      </w:r>
      <w:r>
        <w:t>55</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"_Toc88680721" </w:instrText>
      </w:r>
      <w:r>
        <w:fldChar w:fldCharType="separate"/>
      </w:r>
      <w:r>
        <w:rPr>
          <w:rStyle w:val="53"/>
          <w:rFonts w:ascii="宋体" w:hAnsi="宋体"/>
        </w:rPr>
        <w:t>第三篇  合同</w:t>
      </w:r>
      <w:r>
        <w:tab/>
      </w:r>
      <w:r>
        <w:fldChar w:fldCharType="begin"/>
      </w:r>
      <w:r>
        <w:instrText xml:space="preserve"> PAGEREF _Toc88680721 \h </w:instrText>
      </w:r>
      <w:r>
        <w:fldChar w:fldCharType="separate"/>
      </w:r>
      <w:r>
        <w:t>68</w:t>
      </w:r>
      <w:r>
        <w:fldChar w:fldCharType="end"/>
      </w:r>
      <w:r>
        <w:fldChar w:fldCharType="end"/>
      </w:r>
    </w:p>
    <w:p>
      <w:pPr>
        <w:pStyle w:val="32"/>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
    <w:p/>
    <w:p/>
    <w:bookmarkEnd w:id="2"/>
    <w:p>
      <w:pPr>
        <w:pStyle w:val="4"/>
        <w:spacing w:before="240" w:line="480" w:lineRule="atLeast"/>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6" w:name="_Toc88680677"/>
      <w:bookmarkStart w:id="7" w:name="_Toc434234570"/>
      <w:bookmarkStart w:id="8"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6"/>
    </w:p>
    <w:p>
      <w:pPr>
        <w:pStyle w:val="24"/>
        <w:spacing w:before="240" w:beforeLines="100" w:after="120" w:afterLines="50" w:line="480" w:lineRule="atLeast"/>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480" w:lineRule="atLeast"/>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b/>
          <w:bCs/>
          <w:color w:val="0D0D0D" w:themeColor="text1" w:themeTint="F2"/>
          <w:sz w:val="24"/>
          <w:u w:val="single"/>
          <w14:textFill>
            <w14:solidFill>
              <w14:schemeClr w14:val="tx1">
                <w14:lumMod w14:val="95000"/>
                <w14:lumOff w14:val="5000"/>
              </w14:schemeClr>
            </w14:solidFill>
          </w14:textFill>
        </w:rPr>
        <w:t>坪山区坑梓街道、宝安区松岗街道、光明区新湖街道三个项目物业定位研究服务（二次）</w:t>
      </w:r>
      <w:r>
        <w:rPr>
          <w:rFonts w:hint="eastAsia" w:hAnsi="宋体"/>
          <w:color w:val="0D0D0D" w:themeColor="text1" w:themeTint="F2"/>
          <w:sz w:val="24"/>
          <w14:textFill>
            <w14:solidFill>
              <w14:schemeClr w14:val="tx1">
                <w14:lumMod w14:val="95000"/>
                <w14:lumOff w14:val="5000"/>
              </w14:schemeClr>
            </w14:solidFill>
          </w14:textFill>
        </w:rPr>
        <w:t>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480" w:lineRule="atLeast"/>
        <w:ind w:firstLine="480" w:firstLineChars="200"/>
        <w:jc w:val="left"/>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u w:val="single"/>
          <w14:textFill>
            <w14:solidFill>
              <w14:schemeClr w14:val="tx1">
                <w14:lumMod w14:val="95000"/>
                <w14:lumOff w14:val="5000"/>
              </w14:schemeClr>
            </w14:solidFill>
          </w14:textFill>
        </w:rPr>
        <w:t>领取了本比选文件的</w:t>
      </w:r>
      <w:r>
        <w:rPr>
          <w:rFonts w:hAnsi="宋体"/>
          <w:color w:val="0D0D0D" w:themeColor="text1" w:themeTint="F2"/>
          <w:sz w:val="24"/>
          <w:u w:val="single"/>
          <w14:textFill>
            <w14:solidFill>
              <w14:schemeClr w14:val="tx1">
                <w14:lumMod w14:val="95000"/>
                <w14:lumOff w14:val="5000"/>
              </w14:schemeClr>
            </w14:solidFill>
          </w14:textFill>
        </w:rPr>
        <w:t>参选人</w:t>
      </w:r>
      <w:r>
        <w:rPr>
          <w:rFonts w:hint="eastAsia" w:hAnsi="宋体"/>
          <w:color w:val="0D0D0D" w:themeColor="text1" w:themeTint="F2"/>
          <w:sz w:val="24"/>
          <w:u w:val="single"/>
          <w14:textFill>
            <w14:solidFill>
              <w14:schemeClr w14:val="tx1">
                <w14:lumMod w14:val="95000"/>
                <w14:lumOff w14:val="5000"/>
              </w14:schemeClr>
            </w14:solidFill>
          </w14:textFill>
        </w:rPr>
        <w:t>，请</w:t>
      </w:r>
      <w:r>
        <w:rPr>
          <w:rFonts w:hAnsi="宋体"/>
          <w:color w:val="0D0D0D" w:themeColor="text1" w:themeTint="F2"/>
          <w:sz w:val="24"/>
          <w:u w:val="single"/>
          <w14:textFill>
            <w14:solidFill>
              <w14:schemeClr w14:val="tx1">
                <w14:lumMod w14:val="95000"/>
                <w14:lumOff w14:val="5000"/>
              </w14:schemeClr>
            </w14:solidFill>
          </w14:textFill>
        </w:rPr>
        <w:t>随时查看“深圳地铁</w:t>
      </w:r>
      <w:r>
        <w:rPr>
          <w:rFonts w:hint="eastAsia" w:hAnsi="宋体"/>
          <w:color w:val="0D0D0D" w:themeColor="text1" w:themeTint="F2"/>
          <w:sz w:val="24"/>
          <w:u w:val="single"/>
          <w14:textFill>
            <w14:solidFill>
              <w14:schemeClr w14:val="tx1">
                <w14:lumMod w14:val="95000"/>
                <w14:lumOff w14:val="5000"/>
              </w14:schemeClr>
            </w14:solidFill>
          </w14:textFill>
        </w:rPr>
        <w:t>官</w:t>
      </w:r>
      <w:r>
        <w:rPr>
          <w:rFonts w:hAnsi="宋体"/>
          <w:color w:val="0D0D0D" w:themeColor="text1" w:themeTint="F2"/>
          <w:sz w:val="24"/>
          <w:u w:val="single"/>
          <w14:textFill>
            <w14:solidFill>
              <w14:schemeClr w14:val="tx1">
                <w14:lumMod w14:val="95000"/>
                <w14:lumOff w14:val="5000"/>
              </w14:schemeClr>
            </w14:solidFill>
          </w14:textFill>
        </w:rPr>
        <w:t>网”</w:t>
      </w:r>
      <w:r>
        <w:rPr>
          <w:rFonts w:hint="eastAsia" w:hAnsi="宋体"/>
          <w:color w:val="0D0D0D" w:themeColor="text1" w:themeTint="F2"/>
          <w:sz w:val="24"/>
          <w:u w:val="single"/>
          <w14:textFill>
            <w14:solidFill>
              <w14:schemeClr w14:val="tx1">
                <w14:lumMod w14:val="95000"/>
                <w14:lumOff w14:val="5000"/>
              </w14:schemeClr>
            </w14:solidFill>
          </w14:textFill>
        </w:rPr>
        <w:t>、“深铁招采网”、“</w:t>
      </w:r>
      <w:r>
        <w:rPr>
          <w:rFonts w:hAnsi="宋体"/>
          <w:color w:val="0D0D0D" w:themeColor="text1" w:themeTint="F2"/>
          <w:sz w:val="24"/>
          <w:u w:val="single"/>
          <w14:textFill>
            <w14:solidFill>
              <w14:schemeClr w14:val="tx1">
                <w14:lumMod w14:val="95000"/>
                <w14:lumOff w14:val="5000"/>
              </w14:schemeClr>
            </w14:solidFill>
          </w14:textFill>
        </w:rPr>
        <w:t>国资委阳光采购平台</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深铁置业</w:t>
      </w:r>
      <w:r>
        <w:rPr>
          <w:rFonts w:hint="eastAsia" w:hAnsi="宋体"/>
          <w:color w:val="0D0D0D" w:themeColor="text1" w:themeTint="F2"/>
          <w:sz w:val="24"/>
          <w:u w:val="single"/>
          <w14:textFill>
            <w14:solidFill>
              <w14:schemeClr w14:val="tx1">
                <w14:lumMod w14:val="95000"/>
                <w14:lumOff w14:val="5000"/>
              </w14:schemeClr>
            </w14:solidFill>
          </w14:textFill>
        </w:rPr>
        <w:t>微信订阅</w:t>
      </w:r>
      <w:r>
        <w:rPr>
          <w:rFonts w:hAnsi="宋体"/>
          <w:color w:val="0D0D0D" w:themeColor="text1" w:themeTint="F2"/>
          <w:sz w:val="24"/>
          <w:u w:val="single"/>
          <w14:textFill>
            <w14:solidFill>
              <w14:schemeClr w14:val="tx1">
                <w14:lumMod w14:val="95000"/>
                <w14:lumOff w14:val="5000"/>
              </w14:schemeClr>
            </w14:solidFill>
          </w14:textFill>
        </w:rPr>
        <w:t>号</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中有关该项目</w:t>
      </w:r>
      <w:r>
        <w:rPr>
          <w:rFonts w:hint="eastAsia" w:hAnsi="宋体"/>
          <w:color w:val="0D0D0D" w:themeColor="text1" w:themeTint="F2"/>
          <w:sz w:val="24"/>
          <w:u w:val="single"/>
          <w14:textFill>
            <w14:solidFill>
              <w14:schemeClr w14:val="tx1">
                <w14:lumMod w14:val="95000"/>
                <w14:lumOff w14:val="5000"/>
              </w14:schemeClr>
            </w14:solidFill>
          </w14:textFill>
        </w:rPr>
        <w:t>补遗</w:t>
      </w:r>
      <w:r>
        <w:rPr>
          <w:rFonts w:hAnsi="宋体"/>
          <w:color w:val="0D0D0D" w:themeColor="text1" w:themeTint="F2"/>
          <w:sz w:val="24"/>
          <w:u w:val="single"/>
          <w14:textFill>
            <w14:solidFill>
              <w14:schemeClr w14:val="tx1">
                <w14:lumMod w14:val="95000"/>
                <w14:lumOff w14:val="5000"/>
              </w14:schemeClr>
            </w14:solidFill>
          </w14:textFill>
        </w:rPr>
        <w:t>文件的信息。</w:t>
      </w:r>
      <w:r>
        <w:rPr>
          <w:rFonts w:hint="eastAsia" w:hAnsi="宋体"/>
          <w:color w:val="0D0D0D" w:themeColor="text1" w:themeTint="F2"/>
          <w:sz w:val="24"/>
          <w:u w:val="single"/>
          <w14:textFill>
            <w14:solidFill>
              <w14:schemeClr w14:val="tx1">
                <w14:lumMod w14:val="95000"/>
                <w14:lumOff w14:val="5000"/>
              </w14:schemeClr>
            </w14:solidFill>
          </w14:textFill>
        </w:rPr>
        <w:t>否则，</w:t>
      </w:r>
      <w:r>
        <w:rPr>
          <w:rFonts w:hAnsi="宋体"/>
          <w:color w:val="0D0D0D" w:themeColor="text1" w:themeTint="F2"/>
          <w:sz w:val="24"/>
          <w:u w:val="single"/>
          <w14:textFill>
            <w14:solidFill>
              <w14:schemeClr w14:val="tx1">
                <w14:lumMod w14:val="95000"/>
                <w14:lumOff w14:val="5000"/>
              </w14:schemeClr>
            </w14:solidFill>
          </w14:textFill>
        </w:rPr>
        <w:t>由此导致的不利后果由参选人自负。</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深圳地铁置业集团有限公司</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w:t>
      </w:r>
      <w:r>
        <w:rPr>
          <w:rFonts w:hint="eastAsia" w:hAnsi="宋体"/>
          <w:color w:val="0D0D0D" w:themeColor="text1" w:themeTint="F2"/>
          <w:sz w:val="24"/>
          <w14:textFill>
            <w14:solidFill>
              <w14:schemeClr w14:val="tx1">
                <w14:lumMod w14:val="95000"/>
                <w14:lumOff w14:val="5000"/>
              </w14:schemeClr>
            </w14:solidFill>
          </w14:textFill>
        </w:rPr>
        <w:t>深圳市福田区深南大道6011-8号深铁置业大厦</w:t>
      </w:r>
    </w:p>
    <w:p>
      <w:pPr>
        <w:pStyle w:val="24"/>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 系 人：</w:t>
      </w:r>
      <w:r>
        <w:rPr>
          <w:rFonts w:hint="eastAsia" w:hAnsi="宋体"/>
          <w:color w:val="0D0D0D" w:themeColor="text1" w:themeTint="F2"/>
          <w:sz w:val="24"/>
          <w14:textFill>
            <w14:solidFill>
              <w14:schemeClr w14:val="tx1">
                <w14:lumMod w14:val="95000"/>
                <w14:lumOff w14:val="5000"/>
              </w14:schemeClr>
            </w14:solidFill>
          </w14:textFill>
        </w:rPr>
        <w:t>郭小姐</w:t>
      </w:r>
    </w:p>
    <w:p>
      <w:pPr>
        <w:pStyle w:val="24"/>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联系电话：0755-89986525</w:t>
      </w:r>
    </w:p>
    <w:p>
      <w:pPr>
        <w:pStyle w:val="24"/>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电    邮：</w:t>
      </w:r>
      <w:r>
        <w:rPr>
          <w:rFonts w:hAnsi="宋体"/>
          <w:color w:val="0D0D0D" w:themeColor="text1" w:themeTint="F2"/>
          <w:sz w:val="24"/>
          <w14:textFill>
            <w14:solidFill>
              <w14:schemeClr w14:val="tx1">
                <w14:lumMod w14:val="95000"/>
                <w14:lumOff w14:val="5000"/>
              </w14:schemeClr>
            </w14:solidFill>
          </w14:textFill>
        </w:rPr>
        <w:t>guolishan@shenzhenmc.com</w:t>
      </w:r>
    </w:p>
    <w:p>
      <w:pPr>
        <w:pStyle w:val="24"/>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期：2022</w:t>
      </w:r>
      <w:r>
        <w:rPr>
          <w:rFonts w:hint="eastAsia" w:hAnsi="宋体"/>
          <w:color w:val="0D0D0D" w:themeColor="text1" w:themeTint="F2"/>
          <w:sz w:val="24"/>
          <w14:textFill>
            <w14:solidFill>
              <w14:schemeClr w14:val="tx1">
                <w14:lumMod w14:val="95000"/>
                <w14:lumOff w14:val="5000"/>
              </w14:schemeClr>
            </w14:solidFill>
          </w14:textFill>
        </w:rPr>
        <w:t>年</w:t>
      </w:r>
      <w:r>
        <w:rPr>
          <w:rFonts w:hint="eastAsia" w:hAnsi="宋体"/>
          <w:color w:val="0D0D0D" w:themeColor="text1" w:themeTint="F2"/>
          <w:sz w:val="24"/>
          <w:lang w:val="en-US" w:eastAsia="zh-CN"/>
          <w14:textFill>
            <w14:solidFill>
              <w14:schemeClr w14:val="tx1">
                <w14:lumMod w14:val="95000"/>
                <w14:lumOff w14:val="5000"/>
              </w14:schemeClr>
            </w14:solidFill>
          </w14:textFill>
        </w:rPr>
        <w:t>1</w:t>
      </w:r>
      <w:r>
        <w:rPr>
          <w:rFonts w:hint="eastAsia" w:hAnsi="宋体"/>
          <w:color w:val="0D0D0D" w:themeColor="text1" w:themeTint="F2"/>
          <w:sz w:val="24"/>
          <w14:textFill>
            <w14:solidFill>
              <w14:schemeClr w14:val="tx1">
                <w14:lumMod w14:val="95000"/>
                <w14:lumOff w14:val="5000"/>
              </w14:schemeClr>
            </w14:solidFill>
          </w14:textFill>
        </w:rPr>
        <w:t>月</w:t>
      </w:r>
      <w:r>
        <w:rPr>
          <w:rFonts w:hint="eastAsia" w:hAnsi="宋体"/>
          <w:color w:val="0D0D0D" w:themeColor="text1" w:themeTint="F2"/>
          <w:sz w:val="24"/>
          <w:lang w:val="en-US" w:eastAsia="zh-CN"/>
          <w14:textFill>
            <w14:solidFill>
              <w14:schemeClr w14:val="tx1">
                <w14:lumMod w14:val="95000"/>
                <w14:lumOff w14:val="5000"/>
              </w14:schemeClr>
            </w14:solidFill>
          </w14:textFill>
        </w:rPr>
        <w:t>5</w:t>
      </w:r>
      <w:bookmarkStart w:id="120" w:name="_GoBack"/>
      <w:bookmarkEnd w:id="120"/>
      <w:r>
        <w:rPr>
          <w:rFonts w:hint="eastAsia" w:hAnsi="宋体"/>
          <w:color w:val="0D0D0D" w:themeColor="text1" w:themeTint="F2"/>
          <w:sz w:val="24"/>
          <w14:textFill>
            <w14:solidFill>
              <w14:schemeClr w14:val="tx1">
                <w14:lumMod w14:val="95000"/>
                <w14:lumOff w14:val="5000"/>
              </w14:schemeClr>
            </w14:solidFill>
          </w14:textFill>
        </w:rPr>
        <w:t>日</w:t>
      </w:r>
    </w:p>
    <w:p>
      <w:pPr>
        <w:pStyle w:val="24"/>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4"/>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4"/>
        <w:spacing w:before="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9" w:name="_Toc191203192"/>
      <w:bookmarkStart w:id="10" w:name="_Toc372555579"/>
      <w:bookmarkStart w:id="11" w:name="_Toc188439083"/>
      <w:bookmarkStart w:id="12" w:name="_Toc88680678"/>
      <w:r>
        <w:rPr>
          <w:rFonts w:hint="eastAsia" w:ascii="宋体" w:hAnsi="宋体"/>
          <w:b w:val="0"/>
          <w:color w:val="0D0D0D" w:themeColor="text1" w:themeTint="F2"/>
          <w:sz w:val="44"/>
          <w:szCs w:val="44"/>
          <w14:textFill>
            <w14:solidFill>
              <w14:schemeClr w14:val="tx1">
                <w14:lumMod w14:val="95000"/>
                <w14:lumOff w14:val="5000"/>
              </w14:schemeClr>
            </w14:solidFill>
          </w14:textFill>
        </w:rPr>
        <w:t>参选文件</w:t>
      </w:r>
      <w:bookmarkStart w:id="13" w:name="OLE_LINK1"/>
      <w:r>
        <w:rPr>
          <w:rFonts w:hint="eastAsia" w:ascii="宋体" w:hAnsi="宋体"/>
          <w:b w:val="0"/>
          <w:color w:val="0D0D0D" w:themeColor="text1" w:themeTint="F2"/>
          <w:sz w:val="44"/>
          <w:szCs w:val="44"/>
          <w14:textFill>
            <w14:solidFill>
              <w14:schemeClr w14:val="tx1">
                <w14:lumMod w14:val="95000"/>
                <w14:lumOff w14:val="5000"/>
              </w14:schemeClr>
            </w14:solidFill>
          </w14:textFill>
        </w:rPr>
        <w:t>无效和废标的情形</w:t>
      </w:r>
      <w:bookmarkEnd w:id="13"/>
      <w:r>
        <w:rPr>
          <w:rFonts w:hint="eastAsia" w:ascii="宋体" w:hAnsi="宋体"/>
          <w:b w:val="0"/>
          <w:color w:val="0D0D0D" w:themeColor="text1" w:themeTint="F2"/>
          <w:sz w:val="44"/>
          <w:szCs w:val="44"/>
          <w14:textFill>
            <w14:solidFill>
              <w14:schemeClr w14:val="tx1">
                <w14:lumMod w14:val="95000"/>
                <w14:lumOff w14:val="5000"/>
              </w14:schemeClr>
            </w14:solidFill>
          </w14:textFill>
        </w:rPr>
        <w:t>摘要</w:t>
      </w:r>
      <w:bookmarkEnd w:id="9"/>
      <w:bookmarkEnd w:id="10"/>
      <w:bookmarkEnd w:id="11"/>
      <w:bookmarkEnd w:id="12"/>
    </w:p>
    <w:p>
      <w:pPr>
        <w:pStyle w:val="24"/>
        <w:snapToGrid w:val="0"/>
        <w:spacing w:line="360" w:lineRule="auto"/>
        <w:ind w:firstLine="482" w:firstLineChars="200"/>
        <w:rPr>
          <w:rFonts w:hAnsi="宋体"/>
          <w:b/>
          <w:bCs/>
          <w:color w:val="0D0D0D" w:themeColor="text1" w:themeTint="F2"/>
          <w:sz w:val="24"/>
          <w:szCs w:val="36"/>
          <w14:textFill>
            <w14:solidFill>
              <w14:schemeClr w14:val="tx1">
                <w14:lumMod w14:val="95000"/>
                <w14:lumOff w14:val="5000"/>
              </w14:schemeClr>
            </w14:solidFill>
          </w14:textFill>
        </w:rPr>
      </w:pPr>
      <w:bookmarkStart w:id="14" w:name="_Toc188439084"/>
      <w:bookmarkStart w:id="15" w:name="_Toc191203193"/>
      <w:r>
        <w:rPr>
          <w:rFonts w:hint="eastAsia" w:hAnsi="宋体"/>
          <w:b/>
          <w:bCs/>
          <w:color w:val="0D0D0D" w:themeColor="text1" w:themeTint="F2"/>
          <w:sz w:val="24"/>
          <w:szCs w:val="36"/>
          <w14:textFill>
            <w14:solidFill>
              <w14:schemeClr w14:val="tx1">
                <w14:lumMod w14:val="95000"/>
                <w14:lumOff w14:val="5000"/>
              </w14:schemeClr>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4"/>
      <w:bookmarkEnd w:id="15"/>
    </w:p>
    <w:p>
      <w:pPr>
        <w:adjustRightInd w:val="0"/>
        <w:snapToGrid w:val="0"/>
        <w:spacing w:line="360" w:lineRule="auto"/>
        <w:ind w:firstLine="472" w:firstLineChars="196"/>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一、参选文件不予受理的情形（由比选人负责判定）:</w:t>
      </w:r>
    </w:p>
    <w:p>
      <w:pPr>
        <w:adjustRightInd w:val="0"/>
        <w:snapToGrid w:val="0"/>
        <w:spacing w:line="360" w:lineRule="auto"/>
        <w:ind w:left="480"/>
        <w:rPr>
          <w:rFonts w:ascii="宋体" w:hAnsi="宋体"/>
          <w:bCs/>
          <w:color w:val="0D0D0D" w:themeColor="text1" w:themeTint="F2"/>
          <w:sz w:val="24"/>
          <w:szCs w:val="32"/>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adjustRightInd w:val="0"/>
        <w:snapToGrid w:val="0"/>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2.参选文件</w:t>
      </w:r>
      <w:r>
        <w:rPr>
          <w:rFonts w:ascii="宋体" w:hAnsi="宋体"/>
          <w:bCs/>
          <w:color w:val="0D0D0D" w:themeColor="text1" w:themeTint="F2"/>
          <w:sz w:val="24"/>
          <w:szCs w:val="24"/>
          <w14:textFill>
            <w14:solidFill>
              <w14:schemeClr w14:val="tx1">
                <w14:lumMod w14:val="95000"/>
                <w14:lumOff w14:val="5000"/>
              </w14:schemeClr>
            </w14:solidFill>
          </w14:textFill>
        </w:rPr>
        <w:t>未按规定封</w:t>
      </w:r>
      <w:r>
        <w:rPr>
          <w:rFonts w:hint="eastAsia" w:ascii="宋体" w:hAnsi="宋体"/>
          <w:bCs/>
          <w:color w:val="0D0D0D" w:themeColor="text1" w:themeTint="F2"/>
          <w:sz w:val="24"/>
          <w:szCs w:val="24"/>
          <w14:textFill>
            <w14:solidFill>
              <w14:schemeClr w14:val="tx1">
                <w14:lumMod w14:val="95000"/>
                <w14:lumOff w14:val="5000"/>
              </w14:schemeClr>
            </w14:solidFill>
          </w14:textFill>
        </w:rPr>
        <w:t>装</w:t>
      </w:r>
      <w:r>
        <w:rPr>
          <w:rFonts w:ascii="宋体" w:hAnsi="宋体"/>
          <w:bCs/>
          <w:color w:val="0D0D0D" w:themeColor="text1" w:themeTint="F2"/>
          <w:sz w:val="24"/>
          <w:szCs w:val="24"/>
          <w14:textFill>
            <w14:solidFill>
              <w14:schemeClr w14:val="tx1">
                <w14:lumMod w14:val="95000"/>
                <w14:lumOff w14:val="5000"/>
              </w14:schemeClr>
            </w14:solidFill>
          </w14:textFill>
        </w:rPr>
        <w:t>和加盖参选人公章的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14:textFill>
            <w14:solidFill>
              <w14:schemeClr w14:val="tx1">
                <w14:lumMod w14:val="95000"/>
                <w14:lumOff w14:val="5000"/>
              </w14:schemeClr>
            </w14:solidFill>
          </w14:textFill>
        </w:rPr>
        <w:t>参选文件有下列情形之一的，初步评审不合格，应作无效标处理</w:t>
      </w:r>
      <w:r>
        <w:rPr>
          <w:rFonts w:hint="eastAsia" w:ascii="宋体" w:hAnsi="宋体"/>
          <w:b/>
          <w:bCs/>
          <w:color w:val="0D0D0D" w:themeColor="text1" w:themeTint="F2"/>
          <w:sz w:val="24"/>
          <w:szCs w:val="32"/>
          <w14:textFill>
            <w14:solidFill>
              <w14:schemeClr w14:val="tx1">
                <w14:lumMod w14:val="95000"/>
                <w14:lumOff w14:val="5000"/>
              </w14:schemeClr>
            </w14:solidFill>
          </w14:textFill>
        </w:rPr>
        <w:t>（由评标委员会负责判定）</w:t>
      </w:r>
      <w:r>
        <w:rPr>
          <w:rFonts w:hint="eastAsia" w:ascii="宋体" w:hAnsi="宋体"/>
          <w:b/>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1．参选文件未按要求加盖参选人公章的；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2．参选文件</w:t>
      </w:r>
      <w:r>
        <w:rPr>
          <w:rFonts w:ascii="宋体" w:hAnsi="宋体"/>
          <w:color w:val="0D0D0D" w:themeColor="text1" w:themeTint="F2"/>
          <w:sz w:val="24"/>
          <w14:textFill>
            <w14:solidFill>
              <w14:schemeClr w14:val="tx1">
                <w14:lumMod w14:val="95000"/>
                <w14:lumOff w14:val="5000"/>
              </w14:schemeClr>
            </w14:solidFill>
          </w14:textFill>
        </w:rPr>
        <w:t>未经法定代表人或其委托代理人签字</w:t>
      </w:r>
      <w:r>
        <w:rPr>
          <w:rFonts w:hint="eastAsia" w:ascii="宋体" w:hAnsi="宋体"/>
          <w:color w:val="0D0D0D" w:themeColor="text1" w:themeTint="F2"/>
          <w:sz w:val="24"/>
          <w14:textFill>
            <w14:solidFill>
              <w14:schemeClr w14:val="tx1">
                <w14:lumMod w14:val="95000"/>
                <w14:lumOff w14:val="5000"/>
              </w14:schemeClr>
            </w14:solidFill>
          </w14:textFill>
        </w:rPr>
        <w:t>或盖章</w:t>
      </w:r>
      <w:r>
        <w:rPr>
          <w:rFonts w:ascii="宋体" w:hAnsi="宋体"/>
          <w:color w:val="0D0D0D" w:themeColor="text1" w:themeTint="F2"/>
          <w:sz w:val="24"/>
          <w14:textFill>
            <w14:solidFill>
              <w14:schemeClr w14:val="tx1">
                <w14:lumMod w14:val="95000"/>
                <w14:lumOff w14:val="5000"/>
              </w14:schemeClr>
            </w14:solidFill>
          </w14:textFill>
        </w:rPr>
        <w:t>的，或</w:t>
      </w:r>
      <w:r>
        <w:rPr>
          <w:rFonts w:hint="eastAsia" w:ascii="宋体" w:hAnsi="宋体"/>
          <w:color w:val="0D0D0D" w:themeColor="text1" w:themeTint="F2"/>
          <w:sz w:val="24"/>
          <w14:textFill>
            <w14:solidFill>
              <w14:schemeClr w14:val="tx1">
                <w14:lumMod w14:val="95000"/>
                <w14:lumOff w14:val="5000"/>
              </w14:schemeClr>
            </w14:solidFill>
          </w14:textFill>
        </w:rPr>
        <w:t>有</w:t>
      </w:r>
      <w:r>
        <w:rPr>
          <w:rFonts w:ascii="宋体" w:hAnsi="宋体"/>
          <w:color w:val="0D0D0D" w:themeColor="text1" w:themeTint="F2"/>
          <w:sz w:val="24"/>
          <w14:textFill>
            <w14:solidFill>
              <w14:schemeClr w14:val="tx1">
                <w14:lumMod w14:val="95000"/>
                <w14:lumOff w14:val="5000"/>
              </w14:schemeClr>
            </w14:solidFill>
          </w14:textFill>
        </w:rPr>
        <w:t>委托代理人签字但未随参选文件一起提供“法定代表人授权书”原件的；</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3．对固定的参选格式文件内容进行了实质性修改，或加进额外的条件；</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4．《参选函》</w:t>
      </w:r>
      <w:r>
        <w:rPr>
          <w:rFonts w:ascii="宋体" w:hAnsi="宋体"/>
          <w:color w:val="0D0D0D" w:themeColor="text1" w:themeTint="F2"/>
          <w:sz w:val="24"/>
          <w14:textFill>
            <w14:solidFill>
              <w14:schemeClr w14:val="tx1">
                <w14:lumMod w14:val="95000"/>
                <w14:lumOff w14:val="5000"/>
              </w14:schemeClr>
            </w14:solidFill>
          </w14:textFill>
        </w:rPr>
        <w:t>中的内容未按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文件的</w:t>
      </w:r>
      <w:r>
        <w:rPr>
          <w:rFonts w:hint="eastAsia" w:ascii="宋体" w:hAnsi="宋体"/>
          <w:color w:val="0D0D0D" w:themeColor="text1" w:themeTint="F2"/>
          <w:sz w:val="24"/>
          <w14:textFill>
            <w14:solidFill>
              <w14:schemeClr w14:val="tx1">
                <w14:lumMod w14:val="95000"/>
                <w14:lumOff w14:val="5000"/>
              </w14:schemeClr>
            </w14:solidFill>
          </w14:textFill>
        </w:rPr>
        <w:t>要求</w:t>
      </w:r>
      <w:r>
        <w:rPr>
          <w:rFonts w:ascii="宋体" w:hAnsi="宋体"/>
          <w:color w:val="0D0D0D" w:themeColor="text1" w:themeTint="F2"/>
          <w:sz w:val="24"/>
          <w14:textFill>
            <w14:solidFill>
              <w14:schemeClr w14:val="tx1">
                <w14:lumMod w14:val="95000"/>
                <w14:lumOff w14:val="5000"/>
              </w14:schemeClr>
            </w14:solidFill>
          </w14:textFill>
        </w:rPr>
        <w:t>填写；</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sz w:val="24"/>
        </w:rPr>
        <w:t>参选人的报价超出本项目参选上限价或分项价格上限的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.经审查</w:t>
      </w:r>
      <w:r>
        <w:rPr>
          <w:rFonts w:ascii="宋体" w:hAnsi="宋体"/>
          <w:color w:val="0D0D0D" w:themeColor="text1" w:themeTint="F2"/>
          <w:sz w:val="24"/>
          <w14:textFill>
            <w14:solidFill>
              <w14:schemeClr w14:val="tx1">
                <w14:lumMod w14:val="95000"/>
                <w14:lumOff w14:val="5000"/>
              </w14:schemeClr>
            </w14:solidFill>
          </w14:textFill>
        </w:rPr>
        <w:t>参选人不符合资格要求的。</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三、参选文件存在下列情形的，应作废标处理（由评标委员会负责判定）：</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1．参选人以他人的名义参选或出现串通参选、弄虚作假情形的；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2、不同参选人的参选文件内容存在非正常一致的</w:t>
      </w:r>
      <w:r>
        <w:rPr>
          <w:rFonts w:hint="eastAsia" w:ascii="宋体" w:hAnsi="宋体"/>
          <w:sz w:val="24"/>
        </w:rPr>
        <w:t>（包括但不限于线上递交参选文件的CPU序号、硬盘序列号、MAC地址、IP地址等）</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3、不同参选人的参选文件错漏之处一致的；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r>
        <w:rPr>
          <w:rFonts w:hint="eastAsia" w:ascii="宋体" w:hAnsi="宋体"/>
          <w:sz w:val="24"/>
        </w:rPr>
        <w:t>不同参选人的参选报价或者报价组成异常一致或者呈规律性变化的；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、不同参选人的参选文件由同一单位或者同一个人编制的；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sz w:val="24"/>
        </w:rPr>
        <w:t>不同参选人的参选文件载明的项目负责人与主要技术人员出现同一人的；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7</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、不同参选人的参选文件相互混装的；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8</w:t>
      </w:r>
      <w:r>
        <w:rPr>
          <w:rFonts w:hint="eastAsia" w:ascii="宋体" w:hAnsi="宋体"/>
          <w:color w:val="0D0D0D" w:themeColor="text1" w:themeTint="F2"/>
          <w:sz w:val="24"/>
          <w14:textFill>
            <w14:solidFill>
              <w14:schemeClr w14:val="tx1">
                <w14:lumMod w14:val="95000"/>
                <w14:lumOff w14:val="5000"/>
              </w14:schemeClr>
            </w14:solidFill>
          </w14:textFill>
        </w:rPr>
        <w:t>、不同参选人委托同一人参选的；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9</w:t>
      </w:r>
      <w:r>
        <w:rPr>
          <w:rFonts w:hint="eastAsia" w:ascii="宋体" w:hAnsi="宋体"/>
          <w:color w:val="0D0D0D" w:themeColor="text1" w:themeTint="F2"/>
          <w:sz w:val="24"/>
          <w14:textFill>
            <w14:solidFill>
              <w14:schemeClr w14:val="tx1">
                <w14:lumMod w14:val="95000"/>
                <w14:lumOff w14:val="5000"/>
              </w14:schemeClr>
            </w14:solidFill>
          </w14:textFill>
        </w:rPr>
        <w:t>、参选人拒不按照评标委员会要求对参选文件进行澄清、说明、补正的。</w:t>
      </w:r>
    </w:p>
    <w:p>
      <w:pPr>
        <w:spacing w:line="360" w:lineRule="auto"/>
        <w:ind w:firstLine="480" w:firstLineChars="200"/>
        <w:rPr>
          <w:rFonts w:ascii="宋体" w:hAnsi="宋体"/>
          <w:sz w:val="24"/>
          <w:szCs w:val="24"/>
        </w:rPr>
      </w:pPr>
      <w:r>
        <w:rPr>
          <w:rFonts w:hint="eastAsia" w:ascii="宋体" w:hAnsi="宋体"/>
          <w:sz w:val="24"/>
          <w:szCs w:val="24"/>
        </w:rPr>
        <w:t>当参选人出现上述</w:t>
      </w:r>
      <w:r>
        <w:rPr>
          <w:rFonts w:ascii="宋体" w:hAnsi="宋体"/>
          <w:sz w:val="24"/>
          <w:szCs w:val="24"/>
        </w:rPr>
        <w:t>9</w:t>
      </w:r>
      <w:r>
        <w:rPr>
          <w:rFonts w:hint="eastAsia" w:ascii="宋体" w:hAnsi="宋体"/>
          <w:sz w:val="24"/>
          <w:szCs w:val="24"/>
        </w:rPr>
        <w:t>条的情形时，比选人将该参选人列入比选人不良诚信行为名录，并保留对外公示的权利。</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四</w:t>
      </w:r>
      <w:r>
        <w:rPr>
          <w:rFonts w:ascii="宋体" w:hAnsi="宋体"/>
          <w:b/>
          <w:color w:val="0D0D0D" w:themeColor="text1" w:themeTint="F2"/>
          <w:sz w:val="24"/>
          <w14:textFill>
            <w14:solidFill>
              <w14:schemeClr w14:val="tx1">
                <w14:lumMod w14:val="95000"/>
                <w14:lumOff w14:val="5000"/>
              </w14:schemeClr>
            </w14:solidFill>
          </w14:textFill>
        </w:rPr>
        <w:t>、本项目不接受有下列情形之一的企业或从业人员参与参选：</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2017</w:t>
      </w:r>
      <w:r>
        <w:rPr>
          <w:rFonts w:hint="eastAsia" w:ascii="宋体" w:hAnsi="宋体"/>
          <w:color w:val="0D0D0D" w:themeColor="text1" w:themeTint="F2"/>
          <w:sz w:val="24"/>
          <w14:textFill>
            <w14:solidFill>
              <w14:schemeClr w14:val="tx1">
                <w14:lumMod w14:val="95000"/>
                <w14:lumOff w14:val="5000"/>
              </w14:schemeClr>
            </w14:solidFill>
          </w14:textFill>
        </w:rPr>
        <w:t>年</w:t>
      </w:r>
      <w:r>
        <w:rPr>
          <w:rFonts w:ascii="宋体" w:hAnsi="宋体"/>
          <w:color w:val="0D0D0D" w:themeColor="text1" w:themeTint="F2"/>
          <w:sz w:val="24"/>
          <w14:textFill>
            <w14:solidFill>
              <w14:schemeClr w14:val="tx1">
                <w14:lumMod w14:val="95000"/>
                <w14:lumOff w14:val="5000"/>
              </w14:schemeClr>
            </w14:solidFill>
          </w14:textFill>
        </w:rPr>
        <w:t>1月1日以来，有串通参选不良行为记录或涉嫌串通参选，并正在接受城市主管部门调查的参选申请人；</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2</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联合体参选申请人。</w:t>
      </w: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16" w:name="_Toc88680679"/>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p>
    <w:p/>
    <w:bookmarkEnd w:id="7"/>
    <w:bookmarkEnd w:id="16"/>
    <w:p>
      <w:pPr>
        <w:adjustRightInd w:val="0"/>
        <w:snapToGrid w:val="0"/>
        <w:spacing w:line="336"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深圳地铁置业集团有限公司拟对</w:t>
      </w:r>
      <w:r>
        <w:rPr>
          <w:rFonts w:hint="eastAsia" w:hAnsi="宋体"/>
          <w:b/>
          <w:bCs/>
          <w:color w:val="0D0D0D" w:themeColor="text1" w:themeTint="F2"/>
          <w:sz w:val="24"/>
          <w:szCs w:val="22"/>
          <w:u w:val="single"/>
          <w14:textFill>
            <w14:solidFill>
              <w14:schemeClr w14:val="tx1">
                <w14:lumMod w14:val="95000"/>
                <w14:lumOff w14:val="5000"/>
              </w14:schemeClr>
            </w14:solidFill>
          </w14:textFill>
        </w:rPr>
        <w:t>坪山区坑梓街道、宝安区松岗街道、光明区新湖街道三个项目物业定位研究服务（二次）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4"/>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坪山区坑梓街道、宝安区松岗街道、光明区新湖街道三个项目物业定位研究服务（二次）</w:t>
      </w:r>
    </w:p>
    <w:p>
      <w:pPr>
        <w:pStyle w:val="24"/>
        <w:snapToGrid w:val="0"/>
        <w:spacing w:line="336"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p>
      <w:pPr>
        <w:pStyle w:val="24"/>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1. 坪山区坑梓街道项目（宗地号G14301-0115）位于坪山区坑梓街道金沙社区，兴创路与秋田路交汇处东北角。项目占地21611㎡，建筑面积约10.27万㎡：住宅92480㎡（配建不少于8900㎡保障性住房，物业服务用房210㎡）、商业5000㎡、6 班幼儿园2200㎡、社区老年人日间照料中心1500㎡、公交首末站1500㎡。</w:t>
      </w:r>
    </w:p>
    <w:p>
      <w:pPr>
        <w:pStyle w:val="24"/>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2.宝安区松岗街道沙浦围项目（宗地号A407-1020）位于松岗街道沙浦围工业大道以西、沙江路以北、沙兴路以南。项目占地32684㎡、总建筑面积18.6万㎡：其中办公5.6万㎡、商业6528㎡、酒店45000㎡、住宅59909㎡、公交首末站2500㎡、6班幼儿园1980㎡、社区管理用房300㎡、社区警务室100㎡、社区体育活动场地等以及1所18班小学。</w:t>
      </w:r>
    </w:p>
    <w:p>
      <w:pPr>
        <w:pStyle w:val="24"/>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3.光明区新湖街道项目（宗地号A641-0029）位于光明区新湖街道光辉大道与华夏路交汇处。项目用地为商业用地+二类居住用地，项目占地15964㎡，总建筑面积约7.18万㎡，容积率4.5：其中商业7500㎡，办公31779㎡；住宅28000㎡；配套设施0.456万㎡（社区警务室50㎡，邮政所150㎡、便民服务站500㎡、社区菜市场1000㎡、公交首末站2500㎡，公共服务用房（IDEA空间）360㎡）。</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24"/>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hAnsi="宋体"/>
          <w:bCs/>
          <w:color w:val="0D0D0D" w:themeColor="text1" w:themeTint="F2"/>
          <w:sz w:val="24"/>
          <w:szCs w:val="22"/>
          <w14:textFill>
            <w14:solidFill>
              <w14:schemeClr w14:val="tx1">
                <w14:lumMod w14:val="95000"/>
                <w14:lumOff w14:val="5000"/>
              </w14:schemeClr>
            </w14:solidFill>
          </w14:textFill>
        </w:rPr>
        <w:t>坪山区坑梓街道、宝安区松岗街道、光明区新湖街道三个项目的物业定位研究服务公司的公开比选，采用“一标三包”的形式，共产生三个中选人，并分别签订合同。</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项目物业定位研究服务单位将结合前期项目需求开展地块研究及定位工作并配合跟进服务，具体内容包括但不限于：</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（一）开展项目定位研究工作，撰写项目整体定位报告，报告内容包括但不限以下内容：</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1.项目地块分析：包括地块区域分析、地块整体分析、土地价值的定性定量评估、地块优劣势分析、项目价值初判。</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2.市场调研</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（1）区域市场研究：包括区域发展现状结论、区域发展趋势研判、项目在区域中的占位及功能初步评估、市场调研结论。</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3.本项目物业发展方向研判：包括本项目地块核心优劣势提炼、本项目地块面临的核心问题、本项目内外部资源整合分析、本项目物业发展方向建议、本项目开发目标分解、本项目发展战略确定、分项物业定量分析。</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4.本项目整体定位</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（1）本项目整体物业定位、本项目整体形象定位、本项目功能定位、本项目档次定位。</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（2）分物业属性定位、形象定位、档次定位、客户定位、产品定位、业态定位等。</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5.项目初步开发策划建议</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6.项目初步经济测算</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7.项目物业发展建议</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（二）其它：本项目规划设计配合及跟进服务，内容包括但不限于：</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1.配合后续由于项目规划设计等相关工作的需求，涉及到的定位报告的调整与更新工作，以及相关规划设计相关的意见反馈、专项建议等；</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2.在服务期内按要求提供相关咨询及顾问服务（包括但不限于市场研究、市场动态、市场数据等）。</w:t>
      </w:r>
    </w:p>
    <w:p>
      <w:pPr>
        <w:pStyle w:val="24"/>
        <w:snapToGrid w:val="0"/>
        <w:spacing w:line="336"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w:t>
      </w:r>
      <w:r>
        <w:rPr>
          <w:rFonts w:hAnsi="宋体"/>
          <w:color w:val="0D0D0D" w:themeColor="text1" w:themeTint="F2"/>
          <w:sz w:val="24"/>
          <w:szCs w:val="24"/>
          <w14:textFill>
            <w14:solidFill>
              <w14:schemeClr w14:val="tx1">
                <w14:lumMod w14:val="95000"/>
                <w14:lumOff w14:val="5000"/>
              </w14:schemeClr>
            </w14:solidFill>
          </w14:textFill>
        </w:rPr>
        <w:t>80</w:t>
      </w:r>
      <w:r>
        <w:rPr>
          <w:rFonts w:hint="eastAsia" w:hAnsi="宋体"/>
          <w:color w:val="0D0D0D" w:themeColor="text1" w:themeTint="F2"/>
          <w:sz w:val="24"/>
          <w:szCs w:val="24"/>
          <w14:textFill>
            <w14:solidFill>
              <w14:schemeClr w14:val="tx1">
                <w14:lumMod w14:val="95000"/>
                <w14:lumOff w14:val="5000"/>
              </w14:schemeClr>
            </w14:solidFill>
          </w14:textFill>
        </w:rPr>
        <w:t>万元（含税），各项目分别最高限价如下：</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1．坪山区坑梓街道项目物业定位研究服务最高限价为人民币</w:t>
      </w:r>
      <w:r>
        <w:rPr>
          <w:rFonts w:hAnsi="宋体"/>
          <w:color w:val="0D0D0D" w:themeColor="text1" w:themeTint="F2"/>
          <w:sz w:val="24"/>
          <w:szCs w:val="24"/>
          <w14:textFill>
            <w14:solidFill>
              <w14:schemeClr w14:val="tx1">
                <w14:lumMod w14:val="95000"/>
                <w14:lumOff w14:val="5000"/>
              </w14:schemeClr>
            </w14:solidFill>
          </w14:textFill>
        </w:rPr>
        <w:t>20</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．宝安区松岗街道</w:t>
      </w:r>
      <w:r>
        <w:rPr>
          <w:rFonts w:hAnsi="宋体"/>
          <w:color w:val="0D0D0D" w:themeColor="text1" w:themeTint="F2"/>
          <w:sz w:val="24"/>
          <w:szCs w:val="24"/>
          <w14:textFill>
            <w14:solidFill>
              <w14:schemeClr w14:val="tx1">
                <w14:lumMod w14:val="95000"/>
                <w14:lumOff w14:val="5000"/>
              </w14:schemeClr>
            </w14:solidFill>
          </w14:textFill>
        </w:rPr>
        <w:t>项目物业定位研究服务最高限价为人民币35</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3</w:t>
      </w:r>
      <w:r>
        <w:rPr>
          <w:rFonts w:hint="eastAsia" w:hAnsi="宋体"/>
          <w:color w:val="0D0D0D" w:themeColor="text1" w:themeTint="F2"/>
          <w:sz w:val="24"/>
          <w:szCs w:val="24"/>
          <w14:textFill>
            <w14:solidFill>
              <w14:schemeClr w14:val="tx1">
                <w14:lumMod w14:val="95000"/>
                <w14:lumOff w14:val="5000"/>
              </w14:schemeClr>
            </w14:solidFill>
          </w14:textFill>
        </w:rPr>
        <w:t>．光明区新湖街道</w:t>
      </w:r>
      <w:r>
        <w:rPr>
          <w:rFonts w:hAnsi="宋体"/>
          <w:color w:val="0D0D0D" w:themeColor="text1" w:themeTint="F2"/>
          <w:sz w:val="24"/>
          <w:szCs w:val="24"/>
          <w14:textFill>
            <w14:solidFill>
              <w14:schemeClr w14:val="tx1">
                <w14:lumMod w14:val="95000"/>
                <w14:lumOff w14:val="5000"/>
              </w14:schemeClr>
            </w14:solidFill>
          </w14:textFill>
        </w:rPr>
        <w:t>项目物业定位研究服务最高限价为人民币25</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suppressAutoHyphens/>
        <w:topLinePunct/>
        <w:adjustRightInd w:val="0"/>
        <w:snapToGrid w:val="0"/>
        <w:spacing w:line="336"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bookmarkStart w:id="17" w:name="baidusnap0"/>
      <w:bookmarkEnd w:id="17"/>
      <w:bookmarkStart w:id="18" w:name="baidusnap1"/>
      <w:bookmarkEnd w:id="18"/>
      <w:bookmarkStart w:id="19" w:name="baidusnap4"/>
      <w:bookmarkEnd w:id="19"/>
      <w:bookmarkStart w:id="20" w:name="baidusnap7"/>
      <w:bookmarkEnd w:id="20"/>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（一）成立时间：2018年12月31日之前成立。</w:t>
      </w:r>
    </w:p>
    <w:p>
      <w:pPr>
        <w:suppressAutoHyphens/>
        <w:topLinePunct/>
        <w:adjustRightInd w:val="0"/>
        <w:snapToGrid w:val="0"/>
        <w:spacing w:line="336"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（二）执业资质：经营范围含房地产咨询或策划或代理等。</w:t>
      </w:r>
    </w:p>
    <w:p>
      <w:pPr>
        <w:suppressAutoHyphens/>
        <w:topLinePunct/>
        <w:adjustRightInd w:val="0"/>
        <w:snapToGrid w:val="0"/>
        <w:spacing w:line="336"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（三）公司业绩</w:t>
      </w:r>
    </w:p>
    <w:p>
      <w:pPr>
        <w:suppressAutoHyphens/>
        <w:topLinePunct/>
        <w:adjustRightInd w:val="0"/>
        <w:snapToGrid w:val="0"/>
        <w:spacing w:line="336"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2018年1月1日至今，在深圳承担规模在10万㎡以上含住宅、商业等业态的综合体前期策划研究项目不少于3个（含3个）。</w:t>
      </w:r>
    </w:p>
    <w:p>
      <w:pPr>
        <w:suppressAutoHyphens/>
        <w:topLinePunct/>
        <w:adjustRightInd w:val="0"/>
        <w:snapToGrid w:val="0"/>
        <w:spacing w:line="336"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备注：1.以上业绩证明材料需提供相关合同关键页复印件，日期以合同签约日期为准，面积以合同签约面积为准，若合同上无面积，需另外提供面积证明材料（加盖公章）；2.综合体项目指含住宅、商业、写字楼、公寓、酒店、产业等业态中至少3种及以上业态的项目。</w:t>
      </w:r>
    </w:p>
    <w:p>
      <w:pPr>
        <w:suppressAutoHyphens/>
        <w:topLinePunct/>
        <w:adjustRightInd w:val="0"/>
        <w:snapToGrid w:val="0"/>
        <w:spacing w:line="336"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（四）2017年1月1日以来，有串通参选不良行为记录或涉嫌串通参选，并正在接受城市主管部门调查的参选申请人不得参选。</w:t>
      </w:r>
    </w:p>
    <w:p>
      <w:pPr>
        <w:suppressAutoHyphens/>
        <w:topLinePunct/>
        <w:adjustRightInd w:val="0"/>
        <w:snapToGrid w:val="0"/>
        <w:spacing w:line="336"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（五）不接受联合体投标。</w:t>
      </w:r>
    </w:p>
    <w:p>
      <w:pPr>
        <w:suppressAutoHyphens/>
        <w:topLinePunct/>
        <w:adjustRightInd w:val="0"/>
        <w:snapToGrid w:val="0"/>
        <w:spacing w:line="336"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7"/>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102"/>
        <w:gridCol w:w="2382"/>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1</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5日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1</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18日</w:t>
            </w:r>
            <w:r>
              <w:rPr>
                <w:rFonts w:hint="eastAsia" w:ascii="宋体" w:hAnsi="宋体"/>
                <w:bCs/>
                <w:color w:val="0D0D0D" w:themeColor="text1" w:themeTint="F2"/>
                <w:sz w:val="18"/>
                <w:szCs w:val="18"/>
                <w14:textFill>
                  <w14:solidFill>
                    <w14:schemeClr w14:val="tx1">
                      <w14:lumMod w14:val="95000"/>
                      <w14:lumOff w14:val="5000"/>
                    </w14:schemeClr>
                  </w14:solidFill>
                </w14:textFill>
              </w:rPr>
              <w:t>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1.纸质版参选文件递交地点：地铁大厦1楼评定标中心指定会议室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开标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1</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18</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开标地点：地铁大厦1楼评定标中心指定会议室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（请持48小时内核酸检测结果方可入内）</w:t>
            </w:r>
          </w:p>
        </w:tc>
      </w:tr>
    </w:tbl>
    <w:p>
      <w:pPr>
        <w:pStyle w:val="24"/>
        <w:snapToGrid w:val="0"/>
        <w:spacing w:line="336"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备注：若参选人的纸质版参选文件与电子版参选文件提交的时间或内容相冲突，以提交的纸质版参选文件的时间或内容为准。</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4"/>
        <w:snapToGrid w:val="0"/>
        <w:spacing w:line="336"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4"/>
        <w:snapToGrid w:val="0"/>
        <w:spacing w:line="336"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不是法定代表人，除携带本人身份证复印件外，还需携带法定代表人证明书和法定代表人身份证件复印件及授权委托书。</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4"/>
        <w:snapToGrid w:val="0"/>
        <w:spacing w:line="336"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联系人：郭</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0755-89986525</w:t>
      </w:r>
    </w:p>
    <w:p>
      <w:pPr>
        <w:pStyle w:val="24"/>
        <w:snapToGrid w:val="0"/>
        <w:spacing w:line="336"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深圳地铁置业集团有限公司</w:t>
      </w:r>
    </w:p>
    <w:p>
      <w:pPr>
        <w:pStyle w:val="24"/>
        <w:snapToGrid w:val="0"/>
        <w:spacing w:line="336" w:lineRule="auto"/>
        <w:ind w:firstLine="480" w:firstLineChars="200"/>
        <w:jc w:val="right"/>
        <w:rPr>
          <w:rFonts w:hAnsi="宋体" w:cs="宋体"/>
          <w:color w:val="0D0D0D" w:themeColor="text1" w:themeTint="F2"/>
          <w:sz w:val="24"/>
          <w:szCs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2022</w:t>
      </w:r>
      <w:r>
        <w:rPr>
          <w:rFonts w:hAnsi="宋体"/>
          <w:color w:val="0D0D0D" w:themeColor="text1" w:themeTint="F2"/>
          <w:sz w:val="24"/>
          <w14:textFill>
            <w14:solidFill>
              <w14:schemeClr w14:val="tx1">
                <w14:lumMod w14:val="95000"/>
                <w14:lumOff w14:val="5000"/>
              </w14:schemeClr>
            </w14:solidFill>
          </w14:textFill>
        </w:rPr>
        <w:t xml:space="preserve">年 1 </w:t>
      </w:r>
      <w:r>
        <w:rPr>
          <w:rFonts w:hint="eastAsia" w:hAnsi="宋体"/>
          <w:color w:val="0D0D0D" w:themeColor="text1" w:themeTint="F2"/>
          <w:sz w:val="24"/>
          <w14:textFill>
            <w14:solidFill>
              <w14:schemeClr w14:val="tx1">
                <w14:lumMod w14:val="95000"/>
                <w14:lumOff w14:val="5000"/>
              </w14:schemeClr>
            </w14:solidFill>
          </w14:textFill>
        </w:rPr>
        <w:t>月</w:t>
      </w:r>
    </w:p>
    <w:p>
      <w:pPr>
        <w:pStyle w:val="4"/>
        <w:spacing w:line="480" w:lineRule="atLeast"/>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bookmarkStart w:id="21" w:name="_Toc88680680"/>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1"/>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22" w:name="_Toc88680681"/>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22"/>
    </w:p>
    <w:p>
      <w:pPr>
        <w:pStyle w:val="6"/>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3" w:name="_Toc88680682"/>
      <w:r>
        <w:rPr>
          <w:rFonts w:hint="eastAsia" w:ascii="宋体" w:hAnsi="宋体"/>
          <w:bCs/>
          <w:color w:val="0D0D0D" w:themeColor="text1" w:themeTint="F2"/>
          <w:sz w:val="24"/>
          <w:szCs w:val="24"/>
          <w14:textFill>
            <w14:solidFill>
              <w14:schemeClr w14:val="tx1">
                <w14:lumMod w14:val="95000"/>
                <w14:lumOff w14:val="5000"/>
              </w14:schemeClr>
            </w14:solidFill>
          </w14:textFill>
        </w:rPr>
        <w:t>一、项目概况</w:t>
      </w:r>
      <w:bookmarkEnd w:id="23"/>
    </w:p>
    <w:p>
      <w:pPr>
        <w:pStyle w:val="114"/>
        <w:spacing w:line="360" w:lineRule="auto"/>
        <w:ind w:firstLine="48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1. 坪山区坑梓街道项目（宗地号G14301-0115）位于坪山区坑梓街道金沙社区，兴创路与秋田路交汇处东北角。项目占地21611㎡，建筑面积约10.27万㎡：住宅92480㎡（配建不少于8900㎡保障性住房，物业服务用房210㎡）、商业5000㎡、6 班幼儿园2200㎡、社区老年人日间照料中心1500㎡、公交首末站1500㎡。</w:t>
      </w:r>
    </w:p>
    <w:p>
      <w:pPr>
        <w:pStyle w:val="114"/>
        <w:spacing w:line="360" w:lineRule="auto"/>
        <w:ind w:firstLine="48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ascii="宋体" w:hAnsi="宋体"/>
          <w:color w:val="0D0D0D" w:themeColor="text1" w:themeTint="F2"/>
          <w:kern w:val="0"/>
          <w:sz w:val="24"/>
          <w:szCs w:val="24"/>
          <w:lang w:val="zh-CN"/>
          <w14:textFill>
            <w14:solidFill>
              <w14:schemeClr w14:val="tx1">
                <w14:lumMod w14:val="95000"/>
                <w14:lumOff w14:val="5000"/>
              </w14:schemeClr>
            </w14:solidFill>
          </w14:textFill>
        </w:rPr>
        <w:t>2</w:t>
      </w: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宝安区松岗街道项目（宗地号A407-1020）位于松岗街道沙浦围工业大道以西、沙江路以北、沙兴路以南。项目占地32684㎡、总建筑面积18.6万㎡：其中办公5.6万㎡、商业6528㎡、酒店45000㎡、住宅59909㎡、公交首末站2500㎡、6班幼儿园1980㎡、社区管理用房300㎡、社区警务室100㎡、社区体育活动场地等以及1所18班小学。</w:t>
      </w:r>
    </w:p>
    <w:p>
      <w:pPr>
        <w:pStyle w:val="114"/>
        <w:spacing w:line="360" w:lineRule="auto"/>
        <w:ind w:firstLine="48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ascii="宋体" w:hAnsi="宋体"/>
          <w:color w:val="0D0D0D" w:themeColor="text1" w:themeTint="F2"/>
          <w:kern w:val="0"/>
          <w:sz w:val="24"/>
          <w:szCs w:val="24"/>
          <w:lang w:val="zh-CN"/>
          <w14:textFill>
            <w14:solidFill>
              <w14:schemeClr w14:val="tx1">
                <w14:lumMod w14:val="95000"/>
                <w14:lumOff w14:val="5000"/>
              </w14:schemeClr>
            </w14:solidFill>
          </w14:textFill>
        </w:rPr>
        <w:t>3</w:t>
      </w: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光明区新湖街道项目（宗地号A641-0029）位于光明区新湖街道光辉大道与华夏路交汇处。项目用地为商业用地+二类居住用地，项目占地15964㎡，总建筑面积约7.18万㎡，容积率4.5：其中商业7500㎡，办公31779㎡；住宅28000㎡；配套设施0.456万㎡（社区警务室50㎡，邮政所150㎡、便民服务站500㎡、社区菜市场1000㎡、公交首末站2500㎡，公共服务用房（IDEA空间）360㎡）。</w:t>
      </w:r>
    </w:p>
    <w:p>
      <w:pPr>
        <w:pStyle w:val="114"/>
        <w:spacing w:line="360" w:lineRule="auto"/>
        <w:ind w:firstLine="48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4</w:t>
      </w:r>
      <w:r>
        <w:rPr>
          <w:rFonts w:ascii="宋体" w:hAnsi="宋体"/>
          <w:color w:val="0D0D0D" w:themeColor="text1" w:themeTint="F2"/>
          <w:kern w:val="0"/>
          <w:sz w:val="24"/>
          <w:szCs w:val="24"/>
          <w14:textFill>
            <w14:solidFill>
              <w14:schemeClr w14:val="tx1">
                <w14:lumMod w14:val="95000"/>
                <w14:lumOff w14:val="5000"/>
              </w14:schemeClr>
            </w14:solidFill>
          </w14:textFill>
        </w:rPr>
        <w:t>.</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招采主体补充说明：</w:t>
      </w:r>
    </w:p>
    <w:p>
      <w:pPr>
        <w:pStyle w:val="114"/>
        <w:adjustRightInd w:val="0"/>
        <w:snapToGrid w:val="0"/>
        <w:spacing w:line="360" w:lineRule="auto"/>
        <w:ind w:firstLine="48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坪山区坑梓街道（宗地号G14301-0115）项目的土地开发主体为深圳地铁置业集团有限公司，宝安区松岗街道（宗地号A407-1020）、光明区新湖街道（宗地号A641-0029）项目的土地开发主体为深圳地铁前海国际发展有限公司。深圳地铁前海国际发展有限公司与深圳地铁置业集团有限公司签订委托经营管理协议，深圳地铁前海国际发展有限公司委托深圳地铁置业集团有限公司负责其名下及其管理的所有项目的开发、建设、销售以及相关项目经营管理等全链条业务的经营管理。故本次三个项目统一由深圳地铁置业集团有限公司开展招采工作，后续根据项目主体不同，分别签订合同。</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4" w:name="_Toc88680683"/>
      <w:r>
        <w:rPr>
          <w:rFonts w:hint="eastAsia" w:ascii="宋体" w:hAnsi="宋体"/>
          <w:bCs/>
          <w:color w:val="0D0D0D" w:themeColor="text1" w:themeTint="F2"/>
          <w:sz w:val="24"/>
          <w:szCs w:val="24"/>
          <w14:textFill>
            <w14:solidFill>
              <w14:schemeClr w14:val="tx1">
                <w14:lumMod w14:val="95000"/>
                <w14:lumOff w14:val="5000"/>
              </w14:schemeClr>
            </w14:solidFill>
          </w14:textFill>
        </w:rPr>
        <w:t>二</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服务内容</w:t>
      </w:r>
      <w:bookmarkEnd w:id="24"/>
    </w:p>
    <w:p>
      <w:pPr>
        <w:adjustRightInd w:val="0"/>
        <w:snapToGrid w:val="0"/>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项目物业定位研究服务单位将结合前期项目需求开展地块研究及定位工作并配合跟进服务，具体内容包括但不限于：</w:t>
      </w:r>
    </w:p>
    <w:p>
      <w:pPr>
        <w:adjustRightInd w:val="0"/>
        <w:snapToGrid w:val="0"/>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（一）开展项目定位研究工作，撰写项目整体定位报告，报告内容包括但不限以下内容：</w:t>
      </w:r>
    </w:p>
    <w:p>
      <w:pPr>
        <w:adjustRightInd w:val="0"/>
        <w:snapToGrid w:val="0"/>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1.项目地块分析：包括地块区域分析、地块整体分析、土地价值的定性定量评估、地块优劣势分析、项目价值初判。</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2.市场调研</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（1）区域市场研究：包括区域发展现状结论、区域发展趋势研判、项目在区域中的占位及功能初步评估、市场调研结论。</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3.本项目物业发展方向研判：包括本项目地块核心优劣势提炼、本项目地块面临的核心问题、本项目内外部资源整合分析、本项目物业发展方向建议、本项目开发目标分解、本项目发展战略确定、分项物业定量分析。</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4.本项目整体定位</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（1）本项目整体物业定位、整体形象定位、功能定位、档次定位。</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（2）分物业属性定位、形象定位、档次定位、客户定位、产品定位、业态定位等。</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5.项目初步开发策划建议</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6.项目初步经济测算</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7.项目物业发展建议</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（二）其它：本项目规划设计配合及跟进服务，内容包括但不限于：</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1.配合后续由于项目规划设计等相关工作的需求，涉及到的定位报告的调整与更新工作，以及相关规划设计相关的意见反馈、专项建议等；</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2.在服务期内按要求提供相关咨询及顾问服务（包括但不限于市场研究、市场动态、市场数据等）。</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5" w:name="_Toc88680684"/>
      <w:r>
        <w:rPr>
          <w:rFonts w:hint="eastAsia" w:ascii="宋体" w:hAnsi="宋体"/>
          <w:bCs/>
          <w:color w:val="0D0D0D" w:themeColor="text1" w:themeTint="F2"/>
          <w:sz w:val="24"/>
          <w:szCs w:val="24"/>
          <w14:textFill>
            <w14:solidFill>
              <w14:schemeClr w14:val="tx1">
                <w14:lumMod w14:val="95000"/>
                <w14:lumOff w14:val="5000"/>
              </w14:schemeClr>
            </w14:solidFill>
          </w14:textFill>
        </w:rPr>
        <w:t>二、工作方式及服务期限</w:t>
      </w:r>
      <w:bookmarkEnd w:id="25"/>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1、三个</w:t>
      </w:r>
      <w:r>
        <w:rPr>
          <w:rFonts w:ascii="宋体" w:hAnsi="宋体"/>
          <w:color w:val="0D0D0D" w:themeColor="text1" w:themeTint="F2"/>
          <w:sz w:val="24"/>
          <w:szCs w:val="24"/>
          <w14:textFill>
            <w14:solidFill>
              <w14:schemeClr w14:val="tx1">
                <w14:lumMod w14:val="95000"/>
                <w14:lumOff w14:val="5000"/>
              </w14:schemeClr>
            </w14:solidFill>
          </w14:textFill>
        </w:rPr>
        <w:t>项目</w:t>
      </w:r>
      <w:r>
        <w:rPr>
          <w:rFonts w:hint="eastAsia" w:ascii="宋体" w:hAnsi="宋体"/>
          <w:color w:val="0D0D0D" w:themeColor="text1" w:themeTint="F2"/>
          <w:sz w:val="24"/>
          <w:szCs w:val="24"/>
          <w14:textFill>
            <w14:solidFill>
              <w14:schemeClr w14:val="tx1">
                <w14:lumMod w14:val="95000"/>
                <w14:lumOff w14:val="5000"/>
              </w14:schemeClr>
            </w14:solidFill>
          </w14:textFill>
        </w:rPr>
        <w:t>根据项目主体不同，分项目签订合同。即：坪山区坑梓街道项目物业定位研究服务合同的签约主体为深圳地铁置业集团有限公司；宝安区松岗街道项目物业定位研究服务合同、光明区新湖街道项目物业定位研究服务合同的签约主体为深圳地铁前海国际发展有限公司。</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2、合同采用总价</w:t>
      </w:r>
      <w:r>
        <w:rPr>
          <w:rFonts w:ascii="宋体" w:hAnsi="宋体"/>
          <w:color w:val="0D0D0D" w:themeColor="text1" w:themeTint="F2"/>
          <w:sz w:val="24"/>
          <w:szCs w:val="24"/>
          <w14:textFill>
            <w14:solidFill>
              <w14:schemeClr w14:val="tx1">
                <w14:lumMod w14:val="95000"/>
                <w14:lumOff w14:val="5000"/>
              </w14:schemeClr>
            </w14:solidFill>
          </w14:textFill>
        </w:rPr>
        <w:t>包干</w:t>
      </w:r>
      <w:r>
        <w:rPr>
          <w:rFonts w:hint="eastAsia" w:ascii="宋体" w:hAnsi="宋体"/>
          <w:color w:val="0D0D0D" w:themeColor="text1" w:themeTint="F2"/>
          <w:sz w:val="24"/>
          <w:szCs w:val="24"/>
          <w14:textFill>
            <w14:solidFill>
              <w14:schemeClr w14:val="tx1">
                <w14:lumMod w14:val="95000"/>
                <w14:lumOff w14:val="5000"/>
              </w14:schemeClr>
            </w14:solidFill>
          </w14:textFill>
        </w:rPr>
        <w:t>形式，报价应包含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验收费等。</w:t>
      </w:r>
    </w:p>
    <w:p>
      <w:pPr>
        <w:pStyle w:val="24"/>
        <w:tabs>
          <w:tab w:val="left" w:pos="1134"/>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3</w:t>
      </w:r>
      <w:r>
        <w:rPr>
          <w:rFonts w:hint="eastAsia" w:hAnsi="宋体"/>
          <w:color w:val="0D0D0D" w:themeColor="text1" w:themeTint="F2"/>
          <w:sz w:val="24"/>
          <w:szCs w:val="24"/>
          <w14:textFill>
            <w14:solidFill>
              <w14:schemeClr w14:val="tx1">
                <w14:lumMod w14:val="95000"/>
                <w14:lumOff w14:val="5000"/>
              </w14:schemeClr>
            </w14:solidFill>
          </w14:textFill>
        </w:rPr>
        <w:t>、服务期限：甲方通知之日起至乙方按甲方要求将所有研究报告提交完毕并经汇报通过后止。暂按24个月计。</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6" w:name="_Toc88680685"/>
      <w:r>
        <w:rPr>
          <w:rFonts w:hint="eastAsia" w:ascii="宋体" w:hAnsi="宋体"/>
          <w:bCs/>
          <w:color w:val="0D0D0D" w:themeColor="text1" w:themeTint="F2"/>
          <w:sz w:val="24"/>
          <w:szCs w:val="24"/>
          <w14:textFill>
            <w14:solidFill>
              <w14:schemeClr w14:val="tx1">
                <w14:lumMod w14:val="95000"/>
                <w14:lumOff w14:val="5000"/>
              </w14:schemeClr>
            </w14:solidFill>
          </w14:textFill>
        </w:rPr>
        <w:t>三、参选人资格条件</w:t>
      </w:r>
      <w:bookmarkEnd w:id="26"/>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（一）成立时间：2018年12月31日之前成立。</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（二）执业资质：经营范围含房地产咨询或策划或代理等。</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（三）公司业绩</w:t>
      </w:r>
    </w:p>
    <w:p>
      <w:pPr>
        <w:suppressAutoHyphens/>
        <w:topLinePunct/>
        <w:adjustRightInd w:val="0"/>
        <w:snapToGrid w:val="0"/>
        <w:spacing w:line="360"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2018年1月1日至今，在深圳承担规模在10万㎡以上含住宅、商业等业态的综合体前期策划研究项目不少于3个（含3个）。</w:t>
      </w:r>
    </w:p>
    <w:p>
      <w:pPr>
        <w:suppressAutoHyphens/>
        <w:topLinePunct/>
        <w:adjustRightInd w:val="0"/>
        <w:snapToGrid w:val="0"/>
        <w:spacing w:line="360"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备注：1.以上业绩证明材料需提供相关合同关键页复印件，日期以合同签约日期为准，面积以合同签约面积为准，若合同上无面积，需另外提供面积证明材料（加盖公章）；2.综合体项目指含住宅、商业、写字楼、公寓、酒店、产业等业态中至少3种及以上业态的项目。</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（四）2017年1月1日以来，有串通参选不良行为记录或涉嫌串通参选，并正在接受城市主管部门调查的参选申请人不得参选。</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（五）不接受联合体投标。</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7" w:name="_Toc88680686"/>
      <w:r>
        <w:rPr>
          <w:rFonts w:hint="eastAsia" w:ascii="宋体" w:hAnsi="宋体"/>
          <w:bCs/>
          <w:color w:val="0D0D0D" w:themeColor="text1" w:themeTint="F2"/>
          <w:sz w:val="24"/>
          <w:szCs w:val="24"/>
          <w14:textFill>
            <w14:solidFill>
              <w14:schemeClr w14:val="tx1">
                <w14:lumMod w14:val="95000"/>
                <w14:lumOff w14:val="5000"/>
              </w14:schemeClr>
            </w14:solidFill>
          </w14:textFill>
        </w:rPr>
        <w:t>四、比选的时间安排</w:t>
      </w:r>
      <w:bookmarkEnd w:id="27"/>
    </w:p>
    <w:tbl>
      <w:tblPr>
        <w:tblStyle w:val="47"/>
        <w:tblW w:w="93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2"/>
        <w:gridCol w:w="1757"/>
        <w:gridCol w:w="2354"/>
        <w:gridCol w:w="44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1"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44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6"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1</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5日</w:t>
            </w:r>
          </w:p>
        </w:tc>
        <w:tc>
          <w:tcPr>
            <w:tcW w:w="44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1</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18日</w:t>
            </w:r>
            <w:r>
              <w:rPr>
                <w:rFonts w:hint="eastAsia" w:ascii="宋体" w:hAnsi="宋体"/>
                <w:bCs/>
                <w:color w:val="0D0D0D" w:themeColor="text1" w:themeTint="F2"/>
                <w:sz w:val="18"/>
                <w:szCs w:val="18"/>
                <w14:textFill>
                  <w14:solidFill>
                    <w14:schemeClr w14:val="tx1">
                      <w14:lumMod w14:val="95000"/>
                      <w14:lumOff w14:val="5000"/>
                    </w14:schemeClr>
                  </w14:solidFill>
                </w14:textFill>
              </w:rPr>
              <w:t>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44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1.纸质版参选文件递交地点：地铁大厦1楼评定标中心指定会议室</w:t>
            </w:r>
          </w:p>
          <w:p>
            <w:pPr>
              <w:pStyle w:val="3"/>
              <w:adjustRightInd w:val="0"/>
              <w:snapToGrid w:val="0"/>
              <w:spacing w:line="240"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240"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开标</w:t>
            </w:r>
          </w:p>
        </w:tc>
        <w:tc>
          <w:tcPr>
            <w:tcW w:w="235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1</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18</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44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开标地点：地铁大厦1楼评定标中心指定会议室</w:t>
            </w:r>
          </w:p>
          <w:p>
            <w:pPr>
              <w:pStyle w:val="3"/>
              <w:adjustRightInd w:val="0"/>
              <w:snapToGrid w:val="0"/>
              <w:spacing w:line="240"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（请持48小时内核酸检测结果方可入内）</w:t>
            </w:r>
          </w:p>
        </w:tc>
      </w:tr>
    </w:tbl>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8" w:name="_Toc88680687"/>
      <w:r>
        <w:rPr>
          <w:rFonts w:hint="eastAsia" w:ascii="宋体" w:hAnsi="宋体"/>
          <w:bCs/>
          <w:color w:val="0D0D0D" w:themeColor="text1" w:themeTint="F2"/>
          <w:sz w:val="24"/>
          <w:szCs w:val="24"/>
          <w14:textFill>
            <w14:solidFill>
              <w14:schemeClr w14:val="tx1">
                <w14:lumMod w14:val="95000"/>
                <w14:lumOff w14:val="5000"/>
              </w14:schemeClr>
            </w14:solidFill>
          </w14:textFill>
        </w:rPr>
        <w:t>五、参选费用</w:t>
      </w:r>
      <w:bookmarkEnd w:id="28"/>
    </w:p>
    <w:p>
      <w:pPr>
        <w:pStyle w:val="24"/>
        <w:tabs>
          <w:tab w:val="right" w:pos="9026"/>
        </w:tabs>
        <w:spacing w:line="480" w:lineRule="atLeast"/>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9" w:name="_Toc88680688"/>
      <w:bookmarkStart w:id="30" w:name="_Toc518494124"/>
      <w:r>
        <w:rPr>
          <w:rFonts w:hint="eastAsia" w:ascii="宋体" w:hAnsi="宋体"/>
          <w:bCs/>
          <w:color w:val="0D0D0D" w:themeColor="text1" w:themeTint="F2"/>
          <w:sz w:val="24"/>
          <w:szCs w:val="24"/>
          <w14:textFill>
            <w14:solidFill>
              <w14:schemeClr w14:val="tx1">
                <w14:lumMod w14:val="95000"/>
                <w14:lumOff w14:val="5000"/>
              </w14:schemeClr>
            </w14:solidFill>
          </w14:textFill>
        </w:rPr>
        <w:t>六、参选报价限价</w:t>
      </w:r>
      <w:bookmarkEnd w:id="29"/>
      <w:bookmarkEnd w:id="30"/>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w:t>
      </w:r>
      <w:r>
        <w:rPr>
          <w:rFonts w:hAnsi="宋体"/>
          <w:color w:val="0D0D0D" w:themeColor="text1" w:themeTint="F2"/>
          <w:sz w:val="24"/>
          <w:szCs w:val="24"/>
          <w14:textFill>
            <w14:solidFill>
              <w14:schemeClr w14:val="tx1">
                <w14:lumMod w14:val="95000"/>
                <w14:lumOff w14:val="5000"/>
              </w14:schemeClr>
            </w14:solidFill>
          </w14:textFill>
        </w:rPr>
        <w:t>80</w:t>
      </w:r>
      <w:r>
        <w:rPr>
          <w:rFonts w:hint="eastAsia" w:hAnsi="宋体"/>
          <w:color w:val="0D0D0D" w:themeColor="text1" w:themeTint="F2"/>
          <w:sz w:val="24"/>
          <w:szCs w:val="24"/>
          <w14:textFill>
            <w14:solidFill>
              <w14:schemeClr w14:val="tx1">
                <w14:lumMod w14:val="95000"/>
                <w14:lumOff w14:val="5000"/>
              </w14:schemeClr>
            </w14:solidFill>
          </w14:textFill>
        </w:rPr>
        <w:t>万元（含税），各项目分别最高限价如下：</w:t>
      </w:r>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1．坪山区坑梓街道项目物业定位研究服务最高限价为人民币</w:t>
      </w:r>
      <w:r>
        <w:rPr>
          <w:rFonts w:hAnsi="宋体"/>
          <w:color w:val="0D0D0D" w:themeColor="text1" w:themeTint="F2"/>
          <w:sz w:val="24"/>
          <w:szCs w:val="24"/>
          <w14:textFill>
            <w14:solidFill>
              <w14:schemeClr w14:val="tx1">
                <w14:lumMod w14:val="95000"/>
                <w14:lumOff w14:val="5000"/>
              </w14:schemeClr>
            </w14:solidFill>
          </w14:textFill>
        </w:rPr>
        <w:t>20</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．宝安区松岗街道</w:t>
      </w:r>
      <w:r>
        <w:rPr>
          <w:rFonts w:hAnsi="宋体"/>
          <w:color w:val="0D0D0D" w:themeColor="text1" w:themeTint="F2"/>
          <w:sz w:val="24"/>
          <w:szCs w:val="24"/>
          <w14:textFill>
            <w14:solidFill>
              <w14:schemeClr w14:val="tx1">
                <w14:lumMod w14:val="95000"/>
                <w14:lumOff w14:val="5000"/>
              </w14:schemeClr>
            </w14:solidFill>
          </w14:textFill>
        </w:rPr>
        <w:t>项目物业定位研究服务最高限价为人民币35</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3</w:t>
      </w:r>
      <w:r>
        <w:rPr>
          <w:rFonts w:hint="eastAsia" w:hAnsi="宋体"/>
          <w:color w:val="0D0D0D" w:themeColor="text1" w:themeTint="F2"/>
          <w:sz w:val="24"/>
          <w:szCs w:val="24"/>
          <w14:textFill>
            <w14:solidFill>
              <w14:schemeClr w14:val="tx1">
                <w14:lumMod w14:val="95000"/>
                <w14:lumOff w14:val="5000"/>
              </w14:schemeClr>
            </w14:solidFill>
          </w14:textFill>
        </w:rPr>
        <w:t>．光明区新湖街道</w:t>
      </w:r>
      <w:r>
        <w:rPr>
          <w:rFonts w:hAnsi="宋体"/>
          <w:color w:val="0D0D0D" w:themeColor="text1" w:themeTint="F2"/>
          <w:sz w:val="24"/>
          <w:szCs w:val="24"/>
          <w14:textFill>
            <w14:solidFill>
              <w14:schemeClr w14:val="tx1">
                <w14:lumMod w14:val="95000"/>
                <w14:lumOff w14:val="5000"/>
              </w14:schemeClr>
            </w14:solidFill>
          </w14:textFill>
        </w:rPr>
        <w:t>项目物业定位研究服务最高限价为人民币25</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报价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pPr>
        <w:pStyle w:val="24"/>
        <w:tabs>
          <w:tab w:val="right" w:pos="9026"/>
        </w:tabs>
        <w:spacing w:line="480" w:lineRule="atLeast"/>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1" w:name="_Toc88680689"/>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1"/>
    </w:p>
    <w:p>
      <w:pPr>
        <w:pStyle w:val="6"/>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2" w:name="_Toc88680690"/>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32"/>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比选文件用以阐明所需（1）参选须知；（2）评定标程序；（3）坪山区坑梓街道、宝安区松岗街道、光明区新湖街道三个项目物业定位研究服务工作任务及要求；（4）合同条款等，比选文件由下述部分组成：</w:t>
      </w:r>
    </w:p>
    <w:p>
      <w:pPr>
        <w:pStyle w:val="3"/>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比选文件</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合同条件</w:t>
      </w:r>
    </w:p>
    <w:p>
      <w:pPr>
        <w:pStyle w:val="6"/>
        <w:numPr>
          <w:ilvl w:val="2"/>
          <w:numId w:val="0"/>
        </w:numPr>
        <w:spacing w:before="240" w:beforeLines="100" w:after="120" w:afterLines="50" w:line="480" w:lineRule="atLeast"/>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3" w:name="_Toc88680691"/>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33"/>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w:t>
      </w:r>
      <w:r>
        <w:rPr>
          <w:rFonts w:ascii="宋体" w:hAnsi="宋体"/>
          <w:color w:val="0D0D0D" w:themeColor="text1" w:themeTint="F2"/>
          <w:sz w:val="24"/>
          <w:szCs w:val="24"/>
          <w14:textFill>
            <w14:solidFill>
              <w14:schemeClr w14:val="tx1">
                <w14:lumMod w14:val="95000"/>
                <w14:lumOff w14:val="5000"/>
              </w14:schemeClr>
            </w14:solidFill>
          </w14:textFill>
        </w:rPr>
        <w:t>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480" w:lineRule="atLeast"/>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480" w:lineRule="atLeast"/>
        <w:ind w:firstLine="480"/>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5"/>
        <w:spacing w:line="480" w:lineRule="atLeast"/>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34" w:name="_Toc88680692"/>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34"/>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5" w:name="_Toc88680693"/>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35"/>
    </w:p>
    <w:p>
      <w:pPr>
        <w:pStyle w:val="3"/>
        <w:tabs>
          <w:tab w:val="left" w:pos="945"/>
          <w:tab w:val="left" w:pos="1275"/>
        </w:tabs>
        <w:snapToGrid w:val="0"/>
        <w:spacing w:line="480" w:lineRule="atLeast"/>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3"/>
        <w:tabs>
          <w:tab w:val="left" w:pos="945"/>
          <w:tab w:val="left" w:pos="1275"/>
        </w:tabs>
        <w:snapToGrid w:val="0"/>
        <w:spacing w:line="480" w:lineRule="atLeast"/>
        <w:ind w:left="480" w:leftChars="0" w:firstLine="0" w:firstLineChars="0"/>
        <w:jc w:val="left"/>
        <w:rPr>
          <w:rFonts w:ascii="宋体" w:hAnsi="宋体"/>
          <w:color w:val="0D0D0D" w:themeColor="text1" w:themeTint="F2"/>
          <w:sz w:val="24"/>
          <w:szCs w:val="21"/>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w:t>
      </w:r>
      <w:r>
        <w:rPr>
          <w:rFonts w:ascii="宋体" w:hAnsi="宋体"/>
          <w:color w:val="0D0D0D" w:themeColor="text1" w:themeTint="F2"/>
          <w:sz w:val="24"/>
          <w14:textFill>
            <w14:solidFill>
              <w14:schemeClr w14:val="tx1">
                <w14:lumMod w14:val="95000"/>
                <w14:lumOff w14:val="5000"/>
              </w14:schemeClr>
            </w14:solidFill>
          </w14:textFill>
        </w:rPr>
        <w:t>格式要求</w:t>
      </w:r>
      <w:r>
        <w:rPr>
          <w:rFonts w:hint="eastAsia" w:ascii="宋体" w:hAnsi="宋体"/>
          <w:color w:val="0D0D0D" w:themeColor="text1" w:themeTint="F2"/>
          <w:sz w:val="24"/>
          <w14:textFill>
            <w14:solidFill>
              <w14:schemeClr w14:val="tx1">
                <w14:lumMod w14:val="95000"/>
                <w14:lumOff w14:val="5000"/>
              </w14:schemeClr>
            </w14:solidFill>
          </w14:textFill>
        </w:rPr>
        <w:t>：参选文件采用中文编写，A4纸印刷</w:t>
      </w:r>
      <w:r>
        <w:rPr>
          <w:rFonts w:ascii="宋体" w:hAnsi="宋体"/>
          <w:color w:val="0D0D0D" w:themeColor="text1" w:themeTint="F2"/>
          <w:sz w:val="24"/>
          <w:szCs w:val="21"/>
          <w14:textFill>
            <w14:solidFill>
              <w14:schemeClr w14:val="tx1">
                <w14:lumMod w14:val="95000"/>
                <w14:lumOff w14:val="5000"/>
              </w14:schemeClr>
            </w14:solidFill>
          </w14:textFill>
        </w:rPr>
        <w:t>。</w:t>
      </w:r>
    </w:p>
    <w:p>
      <w:pPr>
        <w:pStyle w:val="3"/>
        <w:tabs>
          <w:tab w:val="left" w:pos="945"/>
          <w:tab w:val="left" w:pos="1275"/>
        </w:tabs>
        <w:snapToGrid w:val="0"/>
        <w:spacing w:line="480" w:lineRule="atLeast"/>
        <w:ind w:left="0" w:leftChars="0" w:firstLine="482"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u w:val="single"/>
          <w14:textFill>
            <w14:solidFill>
              <w14:schemeClr w14:val="tx1">
                <w14:lumMod w14:val="95000"/>
                <w14:lumOff w14:val="5000"/>
              </w14:schemeClr>
            </w14:solidFill>
          </w14:textFill>
        </w:rPr>
        <w:t>参选文件</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按照“技术标书”、“商务标书A包”、“商务标书</w:t>
      </w:r>
      <w:r>
        <w:rPr>
          <w:rFonts w:ascii="宋体" w:hAnsi="宋体"/>
          <w:b/>
          <w:color w:val="0D0D0D" w:themeColor="text1" w:themeTint="F2"/>
          <w:sz w:val="24"/>
          <w:szCs w:val="21"/>
          <w:u w:val="single"/>
          <w14:textFill>
            <w14:solidFill>
              <w14:schemeClr w14:val="tx1">
                <w14:lumMod w14:val="95000"/>
                <w14:lumOff w14:val="5000"/>
              </w14:schemeClr>
            </w14:solidFill>
          </w14:textFill>
        </w:rPr>
        <w:t>B</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包”、“商务标书</w:t>
      </w:r>
      <w:r>
        <w:rPr>
          <w:rFonts w:ascii="宋体" w:hAnsi="宋体"/>
          <w:b/>
          <w:color w:val="0D0D0D" w:themeColor="text1" w:themeTint="F2"/>
          <w:sz w:val="24"/>
          <w:szCs w:val="21"/>
          <w:u w:val="single"/>
          <w14:textFill>
            <w14:solidFill>
              <w14:schemeClr w14:val="tx1">
                <w14:lumMod w14:val="95000"/>
                <w14:lumOff w14:val="5000"/>
              </w14:schemeClr>
            </w14:solidFill>
          </w14:textFill>
        </w:rPr>
        <w:t>C</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包”分别装订成册</w:t>
      </w:r>
      <w:r>
        <w:rPr>
          <w:rFonts w:hint="eastAsia" w:ascii="宋体" w:hAnsi="宋体"/>
          <w:b/>
          <w:color w:val="0D0D0D" w:themeColor="text1" w:themeTint="F2"/>
          <w:sz w:val="24"/>
          <w:u w:val="single"/>
          <w14:textFill>
            <w14:solidFill>
              <w14:schemeClr w14:val="tx1">
                <w14:lumMod w14:val="95000"/>
                <w14:lumOff w14:val="5000"/>
              </w14:schemeClr>
            </w14:solidFill>
          </w14:textFill>
        </w:rPr>
        <w:t>，密封包装。</w:t>
      </w:r>
    </w:p>
    <w:p>
      <w:pPr>
        <w:pStyle w:val="6"/>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6" w:name="_Toc88680694"/>
      <w:r>
        <w:rPr>
          <w:rFonts w:hint="eastAsia" w:ascii="宋体" w:hAnsi="宋体"/>
          <w:bCs/>
          <w:color w:val="0D0D0D" w:themeColor="text1" w:themeTint="F2"/>
          <w:sz w:val="24"/>
          <w14:textFill>
            <w14:solidFill>
              <w14:schemeClr w14:val="tx1">
                <w14:lumMod w14:val="95000"/>
                <w14:lumOff w14:val="5000"/>
              </w14:schemeClr>
            </w14:solidFill>
          </w14:textFill>
        </w:rPr>
        <w:t>二、参选文件内容编写要求</w:t>
      </w:r>
      <w:bookmarkEnd w:id="36"/>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“技术标书”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参选人应按照比选文件第二篇“参选文件格式”中</w:t>
      </w:r>
      <w:r>
        <w:rPr>
          <w:rFonts w:hint="eastAsia" w:ascii="宋体" w:hAnsi="宋体"/>
          <w:b/>
          <w:bCs/>
          <w:sz w:val="24"/>
          <w:szCs w:val="24"/>
          <w:lang w:val="zh-CN"/>
        </w:rPr>
        <w:t>技术标书部分的要求编写技术标</w:t>
      </w:r>
      <w:r>
        <w:rPr>
          <w:rFonts w:hint="eastAsia" w:ascii="宋体" w:hAnsi="宋体"/>
          <w:b/>
          <w:bCs/>
          <w:sz w:val="24"/>
          <w:lang w:val="zh-CN"/>
        </w:rPr>
        <w:t>书</w:t>
      </w:r>
      <w:r>
        <w:rPr>
          <w:rFonts w:hint="eastAsia" w:ascii="宋体" w:hAnsi="宋体"/>
          <w:sz w:val="24"/>
          <w:lang w:val="zh-CN"/>
        </w:rPr>
        <w:t>。</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技术标书应包括以下几个主要内容：</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bookmarkStart w:id="37" w:name="_Hlk73001981"/>
      <w:r>
        <w:rPr>
          <w:rFonts w:hint="eastAsia" w:ascii="宋体" w:hAnsi="宋体"/>
          <w:color w:val="0D0D0D" w:themeColor="text1" w:themeTint="F2"/>
          <w:sz w:val="24"/>
          <w:szCs w:val="24"/>
          <w14:textFill>
            <w14:solidFill>
              <w14:schemeClr w14:val="tx1">
                <w14:lumMod w14:val="95000"/>
                <w14:lumOff w14:val="5000"/>
              </w14:schemeClr>
            </w14:solidFill>
          </w14:textFill>
        </w:rPr>
        <w:t>1.参选人营业执照复印件、政府网站显示经营范围含房地产咨询或策划或代理等的信息页（加盖公章）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.法定代表人资格证明书原件</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加</w:t>
      </w:r>
      <w:r>
        <w:rPr>
          <w:rFonts w:ascii="宋体" w:hAnsi="宋体"/>
          <w:color w:val="0D0D0D" w:themeColor="text1" w:themeTint="F2"/>
          <w:sz w:val="24"/>
          <w:szCs w:val="24"/>
          <w14:textFill>
            <w14:solidFill>
              <w14:schemeClr w14:val="tx1">
                <w14:lumMod w14:val="95000"/>
                <w14:lumOff w14:val="5000"/>
              </w14:schemeClr>
            </w14:solidFill>
          </w14:textFill>
        </w:rPr>
        <w:t>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.法定代表人身份证件复印件（加盖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.法定代表人授权委托书原件（加盖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.被授权人身份证件复印件（加盖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bookmarkEnd w:id="8"/>
    <w:p>
      <w:pPr>
        <w:pStyle w:val="3"/>
        <w:snapToGrid w:val="0"/>
        <w:ind w:left="0" w:leftChars="0" w:firstLine="480" w:firstLineChars="200"/>
        <w:rPr>
          <w:rFonts w:hAnsi="宋体"/>
          <w:sz w:val="24"/>
          <w:szCs w:val="24"/>
          <w:lang w:val="zh-CN"/>
        </w:rPr>
      </w:pPr>
      <w:bookmarkStart w:id="38" w:name="_Toc197404907"/>
      <w:r>
        <w:rPr>
          <w:rFonts w:ascii="宋体" w:hAnsi="宋体"/>
          <w:color w:val="0D0D0D" w:themeColor="text1" w:themeTint="F2"/>
          <w:sz w:val="24"/>
          <w:szCs w:val="24"/>
          <w14:textFill>
            <w14:solidFill>
              <w14:schemeClr w14:val="tx1">
                <w14:lumMod w14:val="95000"/>
                <w14:lumOff w14:val="5000"/>
              </w14:schemeClr>
            </w14:solidFill>
          </w14:textFill>
        </w:rPr>
        <w:t>6.</w:t>
      </w:r>
      <w:r>
        <w:rPr>
          <w:rFonts w:hint="eastAsia" w:ascii="宋体" w:hAnsi="宋体"/>
          <w:color w:val="0D0D0D" w:themeColor="text1" w:themeTint="F2"/>
          <w:sz w:val="24"/>
          <w:szCs w:val="24"/>
          <w14:textFill>
            <w14:solidFill>
              <w14:schemeClr w14:val="tx1">
                <w14:lumMod w14:val="95000"/>
                <w14:lumOff w14:val="5000"/>
              </w14:schemeClr>
            </w14:solidFill>
          </w14:textFill>
        </w:rPr>
        <w:t>参选业绩证明材料（加盖公章）</w:t>
      </w:r>
      <w:r>
        <w:rPr>
          <w:rFonts w:hint="eastAsia" w:hAnsi="宋体"/>
          <w:sz w:val="24"/>
          <w:szCs w:val="24"/>
        </w:rPr>
        <w:t>：2018年1月1日至今，在深圳承担规模在10万㎡以上含住宅、商业等业态的综合体前期策划研究项目不少于3个（含3个）。</w:t>
      </w:r>
    </w:p>
    <w:p>
      <w:pPr>
        <w:pStyle w:val="3"/>
        <w:snapToGrid w:val="0"/>
        <w:ind w:left="0" w:leftChars="0" w:firstLine="480" w:firstLineChars="200"/>
        <w:rPr>
          <w:rFonts w:hAnsi="宋体"/>
          <w:sz w:val="24"/>
          <w:szCs w:val="24"/>
        </w:rPr>
      </w:pPr>
      <w:r>
        <w:rPr>
          <w:rFonts w:hint="eastAsia" w:hAnsi="宋体"/>
          <w:sz w:val="24"/>
          <w:szCs w:val="24"/>
        </w:rPr>
        <w:t>（1）业绩证明材料需提供相关合同关键页复印件，合同关键页显示项目名称、委托内容（合同名称或合同内容含有“策划”/“定位”/“研究”等项目前期研究服务内容的关键字）、委托面积、签约日期、盖章页等。合同日期以合同签约日期为准，面积以合同签约面积为准，若合同上无面积，需另外提供面积证明材料（加盖公章）;（2）综合体项目指含住宅、写字楼、公寓、商业、酒店、产业等业态中至少3种及以上业态的项目。</w:t>
      </w:r>
    </w:p>
    <w:p>
      <w:pPr>
        <w:pStyle w:val="3"/>
        <w:snapToGrid w:val="0"/>
        <w:ind w:left="0" w:leftChars="0" w:firstLine="480" w:firstLineChars="200"/>
        <w:rPr>
          <w:rFonts w:hAnsi="宋体"/>
          <w:sz w:val="24"/>
          <w:szCs w:val="24"/>
        </w:rPr>
      </w:pPr>
      <w:r>
        <w:rPr>
          <w:rFonts w:hint="eastAsia" w:ascii="宋体" w:hAnsi="宋体"/>
          <w:sz w:val="24"/>
          <w:szCs w:val="24"/>
        </w:rPr>
        <w:t>7</w:t>
      </w:r>
      <w:r>
        <w:rPr>
          <w:rFonts w:ascii="宋体" w:hAnsi="宋体"/>
          <w:sz w:val="24"/>
          <w:szCs w:val="24"/>
        </w:rPr>
        <w:t>.</w:t>
      </w:r>
      <w:r>
        <w:rPr>
          <w:rFonts w:hint="eastAsia" w:ascii="宋体" w:hAnsi="宋体"/>
          <w:sz w:val="24"/>
          <w:szCs w:val="24"/>
        </w:rPr>
        <w:t>参选人拟委派项目团队的成员工作经验资料，团队名单按附表格式填写相关内容，加盖参选人公章。提供拟任项目总监、策划经理、项目主策的在职证明（内容含工作岗位）。</w:t>
      </w:r>
    </w:p>
    <w:p>
      <w:pPr>
        <w:pStyle w:val="3"/>
        <w:snapToGrid w:val="0"/>
        <w:ind w:left="0" w:leftChars="0" w:firstLine="480" w:firstLineChars="200"/>
        <w:rPr>
          <w:rFonts w:ascii="宋体" w:hAnsi="宋体"/>
          <w:sz w:val="24"/>
          <w:szCs w:val="24"/>
        </w:rPr>
      </w:pPr>
      <w:r>
        <w:rPr>
          <w:rFonts w:hint="eastAsia" w:ascii="宋体" w:hAnsi="宋体"/>
          <w:sz w:val="24"/>
          <w:szCs w:val="24"/>
        </w:rPr>
        <w:t>参选人业绩证明资料及拟任人员的工作经验材料真实性由参选人负责，并加盖公章。若比选人查实上述信息不真实，参选人将负全责。</w:t>
      </w:r>
    </w:p>
    <w:bookmarkEnd w:id="37"/>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1．参选人应按照比选文件第二篇“参选文件格式”中商务标书部分的要求编写商务标。商务标书共</w:t>
      </w:r>
      <w:r>
        <w:rPr>
          <w:rFonts w:ascii="宋体" w:hAnsi="宋体"/>
          <w:color w:val="0D0D0D" w:themeColor="text1" w:themeTint="F2"/>
          <w:sz w:val="24"/>
          <w:szCs w:val="24"/>
          <w14:textFill>
            <w14:solidFill>
              <w14:schemeClr w14:val="tx1">
                <w14:lumMod w14:val="95000"/>
                <w14:lumOff w14:val="5000"/>
              </w14:schemeClr>
            </w14:solidFill>
          </w14:textFill>
        </w:rPr>
        <w:t>分</w:t>
      </w:r>
      <w:r>
        <w:rPr>
          <w:rFonts w:hint="eastAsia" w:ascii="宋体" w:hAnsi="宋体"/>
          <w:color w:val="0D0D0D" w:themeColor="text1" w:themeTint="F2"/>
          <w:sz w:val="24"/>
          <w:szCs w:val="24"/>
          <w14:textFill>
            <w14:solidFill>
              <w14:schemeClr w14:val="tx1">
                <w14:lumMod w14:val="95000"/>
                <w14:lumOff w14:val="5000"/>
              </w14:schemeClr>
            </w14:solidFill>
          </w14:textFill>
        </w:rPr>
        <w:t>A、B、C三个独立标书</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分别应包括以下几个主要内容：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 xml:space="preserve">1.1 </w:t>
      </w:r>
      <w:r>
        <w:rPr>
          <w:rFonts w:hint="eastAsia" w:ascii="宋体" w:hAnsi="宋体"/>
          <w:b/>
          <w:bCs/>
          <w:color w:val="0D0D0D" w:themeColor="text1" w:themeTint="F2"/>
          <w:sz w:val="24"/>
          <w:szCs w:val="24"/>
          <w14:textFill>
            <w14:solidFill>
              <w14:schemeClr w14:val="tx1">
                <w14:lumMod w14:val="95000"/>
                <w14:lumOff w14:val="5000"/>
              </w14:schemeClr>
            </w14:solidFill>
          </w14:textFill>
        </w:rPr>
        <w:t>A包：坪山区坑梓街道项目物业定位研究服务商务标</w:t>
      </w:r>
      <w:r>
        <w:rPr>
          <w:rFonts w:ascii="宋体" w:hAnsi="宋体"/>
          <w:b/>
          <w:bCs/>
          <w:color w:val="0D0D0D" w:themeColor="text1" w:themeTint="F2"/>
          <w:sz w:val="24"/>
          <w:szCs w:val="24"/>
          <w14:textFill>
            <w14:solidFill>
              <w14:schemeClr w14:val="tx1">
                <w14:lumMod w14:val="95000"/>
                <w14:lumOff w14:val="5000"/>
              </w14:schemeClr>
            </w14:solidFill>
          </w14:textFill>
        </w:rPr>
        <w:t>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1.2</w:t>
      </w:r>
      <w:r>
        <w:rPr>
          <w:rFonts w:ascii="宋体" w:hAnsi="宋体"/>
          <w:b/>
          <w:bCs/>
          <w:color w:val="0D0D0D" w:themeColor="text1" w:themeTint="F2"/>
          <w:sz w:val="24"/>
          <w:szCs w:val="24"/>
          <w14:textFill>
            <w14:solidFill>
              <w14:schemeClr w14:val="tx1">
                <w14:lumMod w14:val="95000"/>
                <w14:lumOff w14:val="5000"/>
              </w14:schemeClr>
            </w14:solidFill>
          </w14:textFill>
        </w:rPr>
        <w:t xml:space="preserve"> B包：</w:t>
      </w:r>
      <w:r>
        <w:rPr>
          <w:rFonts w:hint="eastAsia" w:ascii="宋体" w:hAnsi="宋体"/>
          <w:b/>
          <w:bCs/>
          <w:color w:val="0D0D0D" w:themeColor="text1" w:themeTint="F2"/>
          <w:sz w:val="24"/>
          <w:szCs w:val="24"/>
          <w14:textFill>
            <w14:solidFill>
              <w14:schemeClr w14:val="tx1">
                <w14:lumMod w14:val="95000"/>
                <w14:lumOff w14:val="5000"/>
              </w14:schemeClr>
            </w14:solidFill>
          </w14:textFill>
        </w:rPr>
        <w:t>宝安区松岗街道</w:t>
      </w:r>
      <w:r>
        <w:rPr>
          <w:rFonts w:ascii="宋体" w:hAnsi="宋体"/>
          <w:b/>
          <w:bCs/>
          <w:color w:val="0D0D0D" w:themeColor="text1" w:themeTint="F2"/>
          <w:sz w:val="24"/>
          <w:szCs w:val="24"/>
          <w14:textFill>
            <w14:solidFill>
              <w14:schemeClr w14:val="tx1">
                <w14:lumMod w14:val="95000"/>
                <w14:lumOff w14:val="5000"/>
              </w14:schemeClr>
            </w14:solidFill>
          </w14:textFill>
        </w:rPr>
        <w:t>项目物业定位研究服务商务标书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 xml:space="preserve">1.3 </w:t>
      </w:r>
      <w:r>
        <w:rPr>
          <w:rFonts w:ascii="宋体" w:hAnsi="宋体"/>
          <w:b/>
          <w:bCs/>
          <w:color w:val="0D0D0D" w:themeColor="text1" w:themeTint="F2"/>
          <w:sz w:val="24"/>
          <w:szCs w:val="24"/>
          <w14:textFill>
            <w14:solidFill>
              <w14:schemeClr w14:val="tx1">
                <w14:lumMod w14:val="95000"/>
                <w14:lumOff w14:val="5000"/>
              </w14:schemeClr>
            </w14:solidFill>
          </w14:textFill>
        </w:rPr>
        <w:t>C包：</w:t>
      </w:r>
      <w:r>
        <w:rPr>
          <w:rFonts w:hint="eastAsia" w:ascii="宋体" w:hAnsi="宋体"/>
          <w:b/>
          <w:bCs/>
          <w:color w:val="0D0D0D" w:themeColor="text1" w:themeTint="F2"/>
          <w:sz w:val="24"/>
          <w:szCs w:val="24"/>
          <w14:textFill>
            <w14:solidFill>
              <w14:schemeClr w14:val="tx1">
                <w14:lumMod w14:val="95000"/>
                <w14:lumOff w14:val="5000"/>
              </w14:schemeClr>
            </w14:solidFill>
          </w14:textFill>
        </w:rPr>
        <w:t>光明区新湖街道</w:t>
      </w:r>
      <w:r>
        <w:rPr>
          <w:rFonts w:ascii="宋体" w:hAnsi="宋体"/>
          <w:b/>
          <w:bCs/>
          <w:color w:val="0D0D0D" w:themeColor="text1" w:themeTint="F2"/>
          <w:sz w:val="24"/>
          <w:szCs w:val="24"/>
          <w14:textFill>
            <w14:solidFill>
              <w14:schemeClr w14:val="tx1">
                <w14:lumMod w14:val="95000"/>
                <w14:lumOff w14:val="5000"/>
              </w14:schemeClr>
            </w14:solidFill>
          </w14:textFill>
        </w:rPr>
        <w:t>项目物业定位研究服务商务标书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2．参选报价货币为</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人民币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比选人认为参选人报价已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验收费等。</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4．比选人认为</w:t>
      </w:r>
      <w:r>
        <w:rPr>
          <w:rFonts w:hint="eastAsia" w:ascii="宋体" w:hAnsi="宋体"/>
          <w:color w:val="0D0D0D" w:themeColor="text1" w:themeTint="F2"/>
          <w:sz w:val="24"/>
          <w:szCs w:val="24"/>
          <w14:textFill>
            <w14:solidFill>
              <w14:schemeClr w14:val="tx1">
                <w14:lumMod w14:val="95000"/>
                <w14:lumOff w14:val="5000"/>
              </w14:schemeClr>
            </w14:solidFill>
          </w14:textFill>
        </w:rPr>
        <w:t>参选人为履行本合同而提供的产品和相关服务的知识产权、版权费等第三者费用、根据法律由乙方支付的税费、保险费、合同文本、研究成果等资料的印刷费等已包含在参选人的投标报价中。</w:t>
      </w:r>
    </w:p>
    <w:p>
      <w:pPr>
        <w:pStyle w:val="3"/>
        <w:snapToGrid w:val="0"/>
        <w:ind w:left="0" w:leftChars="0" w:firstLine="480" w:firstLineChars="200"/>
        <w:rPr>
          <w:rFonts w:ascii="宋体" w:hAnsi="宋体"/>
          <w:b/>
          <w:bCs/>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．本次参选报价</w:t>
      </w:r>
      <w:r>
        <w:rPr>
          <w:rFonts w:ascii="宋体" w:hAnsi="宋体"/>
          <w:color w:val="0D0D0D" w:themeColor="text1" w:themeTint="F2"/>
          <w:sz w:val="24"/>
          <w:szCs w:val="24"/>
          <w14:textFill>
            <w14:solidFill>
              <w14:schemeClr w14:val="tx1">
                <w14:lumMod w14:val="95000"/>
                <w14:lumOff w14:val="5000"/>
              </w14:schemeClr>
            </w14:solidFill>
          </w14:textFill>
        </w:rPr>
        <w:t>内容为</w:t>
      </w:r>
      <w:r>
        <w:rPr>
          <w:rFonts w:hint="eastAsia" w:ascii="宋体" w:hAnsi="宋体"/>
          <w:color w:val="0D0D0D" w:themeColor="text1" w:themeTint="F2"/>
          <w:sz w:val="24"/>
          <w:szCs w:val="24"/>
          <w14:textFill>
            <w14:solidFill>
              <w14:schemeClr w14:val="tx1">
                <w14:lumMod w14:val="95000"/>
                <w14:lumOff w14:val="5000"/>
              </w14:schemeClr>
            </w14:solidFill>
          </w14:textFill>
        </w:rPr>
        <w:t>服务费总报价</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各包报价</w:t>
      </w:r>
      <w:r>
        <w:rPr>
          <w:rFonts w:ascii="宋体" w:hAnsi="宋体"/>
          <w:color w:val="0D0D0D" w:themeColor="text1" w:themeTint="F2"/>
          <w:sz w:val="24"/>
          <w:szCs w:val="24"/>
          <w14:textFill>
            <w14:solidFill>
              <w14:schemeClr w14:val="tx1">
                <w14:lumMod w14:val="95000"/>
                <w14:lumOff w14:val="5000"/>
              </w14:schemeClr>
            </w14:solidFill>
          </w14:textFill>
        </w:rPr>
        <w:t>的</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最高上限价分别如下：</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sz w:val="24"/>
          <w:szCs w:val="24"/>
        </w:rPr>
        <w:t>（1）</w:t>
      </w:r>
      <w:r>
        <w:rPr>
          <w:rFonts w:ascii="宋体" w:hAnsi="宋体"/>
          <w:sz w:val="24"/>
          <w:szCs w:val="24"/>
        </w:rPr>
        <w:t>A</w:t>
      </w:r>
      <w:r>
        <w:rPr>
          <w:rFonts w:hint="eastAsia" w:ascii="宋体" w:hAnsi="宋体"/>
          <w:sz w:val="24"/>
          <w:szCs w:val="24"/>
        </w:rPr>
        <w:t>包——</w:t>
      </w:r>
      <w:r>
        <w:rPr>
          <w:rFonts w:hint="eastAsia" w:ascii="宋体" w:hAnsi="宋体"/>
          <w:color w:val="000000" w:themeColor="text1"/>
          <w:sz w:val="24"/>
          <w:szCs w:val="24"/>
          <w14:textFill>
            <w14:solidFill>
              <w14:schemeClr w14:val="tx1"/>
            </w14:solidFill>
          </w14:textFill>
        </w:rPr>
        <w:t>坪山区坑梓街道项目物业定位研究服务</w:t>
      </w:r>
      <w:r>
        <w:rPr>
          <w:rFonts w:hint="eastAsia" w:ascii="宋体" w:hAnsi="宋体"/>
          <w:sz w:val="24"/>
          <w:szCs w:val="24"/>
        </w:rPr>
        <w:t>：</w:t>
      </w:r>
      <w:r>
        <w:rPr>
          <w:rFonts w:ascii="宋体" w:hAnsi="宋体"/>
          <w:sz w:val="24"/>
          <w:szCs w:val="24"/>
        </w:rPr>
        <w:t>20</w:t>
      </w:r>
      <w:r>
        <w:rPr>
          <w:rFonts w:hint="eastAsia" w:ascii="宋体" w:hAnsi="宋体"/>
          <w:sz w:val="24"/>
          <w:szCs w:val="24"/>
        </w:rPr>
        <w:t>万元（</w:t>
      </w:r>
      <w:r>
        <w:rPr>
          <w:rFonts w:hint="eastAsia" w:ascii="宋体" w:hAnsi="宋体"/>
          <w:color w:val="000000" w:themeColor="text1"/>
          <w:sz w:val="24"/>
          <w:szCs w:val="24"/>
          <w14:textFill>
            <w14:solidFill>
              <w14:schemeClr w14:val="tx1"/>
            </w14:solidFill>
          </w14:textFill>
        </w:rPr>
        <w:t>含税）；</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2）B</w:t>
      </w:r>
      <w:r>
        <w:rPr>
          <w:rFonts w:hint="eastAsia" w:ascii="宋体" w:hAnsi="宋体"/>
          <w:color w:val="000000" w:themeColor="text1"/>
          <w:sz w:val="24"/>
          <w:szCs w:val="24"/>
          <w14:textFill>
            <w14:solidFill>
              <w14:schemeClr w14:val="tx1"/>
            </w14:solidFill>
          </w14:textFill>
        </w:rPr>
        <w:t>包</w:t>
      </w:r>
      <w:r>
        <w:rPr>
          <w:rFonts w:hint="eastAsia" w:ascii="宋体" w:hAnsi="宋体"/>
          <w:sz w:val="24"/>
          <w:szCs w:val="24"/>
        </w:rPr>
        <w:t>——宝安区松岗街道</w:t>
      </w:r>
      <w:r>
        <w:rPr>
          <w:rFonts w:ascii="宋体" w:hAnsi="宋体"/>
          <w:sz w:val="24"/>
          <w:szCs w:val="24"/>
        </w:rPr>
        <w:t>项目物业定位研究服务</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35</w:t>
      </w:r>
      <w:r>
        <w:rPr>
          <w:rFonts w:hint="eastAsia" w:ascii="宋体" w:hAnsi="宋体"/>
          <w:color w:val="000000" w:themeColor="text1"/>
          <w:sz w:val="24"/>
          <w:szCs w:val="24"/>
          <w14:textFill>
            <w14:solidFill>
              <w14:schemeClr w14:val="tx1"/>
            </w14:solidFill>
          </w14:textFill>
        </w:rPr>
        <w:t>万元（含税）；</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3）C</w:t>
      </w:r>
      <w:r>
        <w:rPr>
          <w:rFonts w:hint="eastAsia" w:ascii="宋体" w:hAnsi="宋体"/>
          <w:color w:val="000000" w:themeColor="text1"/>
          <w:sz w:val="24"/>
          <w:szCs w:val="24"/>
          <w14:textFill>
            <w14:solidFill>
              <w14:schemeClr w14:val="tx1"/>
            </w14:solidFill>
          </w14:textFill>
        </w:rPr>
        <w:t>包——光明区新湖街道</w:t>
      </w:r>
      <w:r>
        <w:rPr>
          <w:rFonts w:ascii="宋体" w:hAnsi="宋体"/>
          <w:color w:val="000000" w:themeColor="text1"/>
          <w:sz w:val="24"/>
          <w:szCs w:val="24"/>
          <w14:textFill>
            <w14:solidFill>
              <w14:schemeClr w14:val="tx1"/>
            </w14:solidFill>
          </w14:textFill>
        </w:rPr>
        <w:t>项目物业定位研究服务：25</w:t>
      </w:r>
      <w:r>
        <w:rPr>
          <w:rFonts w:hint="eastAsia" w:ascii="宋体" w:hAnsi="宋体"/>
          <w:color w:val="000000" w:themeColor="text1"/>
          <w:sz w:val="24"/>
          <w:szCs w:val="24"/>
          <w14:textFill>
            <w14:solidFill>
              <w14:schemeClr w14:val="tx1"/>
            </w14:solidFill>
          </w14:textFill>
        </w:rPr>
        <w:t>万元（含税）。</w:t>
      </w:r>
    </w:p>
    <w:p>
      <w:pPr>
        <w:pStyle w:val="3"/>
        <w:snapToGrid w:val="0"/>
        <w:ind w:left="0" w:leftChars="0"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参选人报价精确到元。报价高于最高限价的将作为无效标处理。</w:t>
      </w:r>
    </w:p>
    <w:p>
      <w:pPr>
        <w:pStyle w:val="6"/>
        <w:numPr>
          <w:ilvl w:val="2"/>
          <w:numId w:val="0"/>
        </w:numPr>
        <w:spacing w:before="240" w:beforeLines="100" w:after="120" w:afterLines="50" w:line="560" w:lineRule="exac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9" w:name="_Toc88680695"/>
      <w:r>
        <w:rPr>
          <w:rFonts w:hint="eastAsia" w:ascii="宋体" w:hAnsi="宋体"/>
          <w:bCs/>
          <w:color w:val="0D0D0D" w:themeColor="text1" w:themeTint="F2"/>
          <w:sz w:val="24"/>
          <w14:textFill>
            <w14:solidFill>
              <w14:schemeClr w14:val="tx1">
                <w14:lumMod w14:val="95000"/>
                <w14:lumOff w14:val="5000"/>
              </w14:schemeClr>
            </w14:solidFill>
          </w14:textFill>
        </w:rPr>
        <w:t>三、参选人的承诺</w:t>
      </w:r>
      <w:bookmarkEnd w:id="39"/>
    </w:p>
    <w:bookmarkEnd w:id="38"/>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所委派的工作人员在中选后不得随意更改，如确需变更，需经比选人认可同意，如未经比选人同意，参选人自行变更参选文件中委派的主要人员（项目总监、项目经理、项目主策、项目组主要人员），比选人有权对参选人予以相应违约处理或终止履行合同。</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Pr>
          <w:rFonts w:hint="eastAsia" w:ascii="宋体" w:hAnsi="宋体" w:cs="Arial Unicode MS"/>
          <w:bCs/>
          <w:color w:val="0D0D0D" w:themeColor="text1" w:themeTint="F2"/>
          <w:sz w:val="24"/>
          <w:szCs w:val="24"/>
          <w14:textFill>
            <w14:solidFill>
              <w14:schemeClr w14:val="tx1">
                <w14:lumMod w14:val="95000"/>
                <w14:lumOff w14:val="5000"/>
              </w14:schemeClr>
            </w14:solidFill>
          </w14:textFill>
        </w:rPr>
        <w:t>。</w:t>
      </w:r>
    </w:p>
    <w:p>
      <w:pPr>
        <w:pStyle w:val="3"/>
        <w:spacing w:line="480" w:lineRule="atLeast"/>
        <w:ind w:left="0" w:leftChars="0" w:firstLine="400" w:firstLineChars="200"/>
        <w:rPr>
          <w:rFonts w:ascii="宋体" w:hAnsi="宋体"/>
          <w:color w:val="0D0D0D" w:themeColor="text1" w:themeTint="F2"/>
          <w14:textFill>
            <w14:solidFill>
              <w14:schemeClr w14:val="tx1">
                <w14:lumMod w14:val="95000"/>
                <w14:lumOff w14:val="5000"/>
              </w14:schemeClr>
            </w14:solidFill>
          </w14:textFill>
        </w:rPr>
      </w:pPr>
    </w:p>
    <w:p>
      <w:pPr>
        <w:pStyle w:val="5"/>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0" w:name="_Toc197404908"/>
      <w:bookmarkStart w:id="41" w:name="_Toc88680696"/>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40"/>
      <w:bookmarkEnd w:id="41"/>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3"/>
        <w:snapToGrid w:val="0"/>
        <w:ind w:left="0" w:leftChars="0" w:firstLine="480" w:firstLineChars="200"/>
        <w:rPr>
          <w:rFonts w:ascii="宋体" w:hAnsi="宋体"/>
          <w:kern w:val="2"/>
          <w:sz w:val="24"/>
          <w:szCs w:val="24"/>
        </w:rPr>
      </w:pPr>
      <w:r>
        <w:rPr>
          <w:rFonts w:hint="eastAsia" w:ascii="宋体" w:hAnsi="宋体"/>
          <w:sz w:val="24"/>
          <w:szCs w:val="24"/>
        </w:rPr>
        <w:t>参选人应提交两套参选文件，即技术标参选文件、商务标参选文件，其中商务标含</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A包、B包和C包的“商务标书”</w:t>
      </w:r>
      <w:r>
        <w:rPr>
          <w:rFonts w:hint="eastAsia"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sz w:val="24"/>
          <w:szCs w:val="24"/>
        </w:rPr>
        <w:t>每套参选文件包含正本1册、副本6册。技术标书和商务标书分别封装。在每一册参选文件上要明确注明“正本”和“副本”，正本和副本有差异时，以正本为准。</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二、参选文件的签章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（一）所有参选文件（正、副本）均须加盖公章。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（二）参选文件均应使用不能擦去的墨水打印或书写，并由参选人正式授权人签署。有增加或修正的各项，都应由参选文件签字人签字证明。</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（三）参选文件应无涂改和行间插字，除非这些删改是根据比选人指示进行，或是参选人造成的必须修改的错误。在后一种情况下，修改处应由参选文件签字人签字证明。</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bookmarkStart w:id="42" w:name="_Toc36527858"/>
      <w:r>
        <w:rPr>
          <w:rFonts w:hint="eastAsia" w:ascii="宋体" w:hAnsi="宋体"/>
          <w:b/>
          <w:color w:val="0D0D0D" w:themeColor="text1" w:themeTint="F2"/>
          <w:sz w:val="24"/>
          <w14:textFill>
            <w14:solidFill>
              <w14:schemeClr w14:val="tx1">
                <w14:lumMod w14:val="95000"/>
                <w14:lumOff w14:val="5000"/>
              </w14:schemeClr>
            </w14:solidFill>
          </w14:textFill>
        </w:rPr>
        <w:t>三、参选文件的密封与</w:t>
      </w:r>
      <w:bookmarkEnd w:id="42"/>
      <w:r>
        <w:rPr>
          <w:rFonts w:hint="eastAsia" w:ascii="宋体" w:hAnsi="宋体"/>
          <w:b/>
          <w:color w:val="0D0D0D" w:themeColor="text1" w:themeTint="F2"/>
          <w:sz w:val="24"/>
          <w14:textFill>
            <w14:solidFill>
              <w14:schemeClr w14:val="tx1">
                <w14:lumMod w14:val="95000"/>
                <w14:lumOff w14:val="5000"/>
              </w14:schemeClr>
            </w14:solidFill>
          </w14:textFill>
        </w:rPr>
        <w:t>标识</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（一）参选文件必须按规定密封，在外层包封封口处加盖参选人单位公章。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（二）参选人应按以下规定密封参选文件并加写标识：</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参选文件共</w:t>
      </w:r>
      <w:r>
        <w:rPr>
          <w:rFonts w:ascii="宋体" w:hAnsi="宋体"/>
          <w:bCs/>
          <w:color w:val="0D0D0D" w:themeColor="text1" w:themeTint="F2"/>
          <w:sz w:val="24"/>
          <w14:textFill>
            <w14:solidFill>
              <w14:schemeClr w14:val="tx1">
                <w14:lumMod w14:val="95000"/>
                <w14:lumOff w14:val="5000"/>
              </w14:schemeClr>
            </w14:solidFill>
          </w14:textFill>
        </w:rPr>
        <w:t>包含</w:t>
      </w:r>
      <w:r>
        <w:rPr>
          <w:rFonts w:hint="eastAsia" w:ascii="宋体" w:hAnsi="宋体"/>
          <w:bCs/>
          <w:color w:val="0D0D0D" w:themeColor="text1" w:themeTint="F2"/>
          <w:sz w:val="24"/>
          <w14:textFill>
            <w14:solidFill>
              <w14:schemeClr w14:val="tx1">
                <w14:lumMod w14:val="95000"/>
                <w14:lumOff w14:val="5000"/>
              </w14:schemeClr>
            </w14:solidFill>
          </w14:textFill>
        </w:rPr>
        <w:t>两个</w:t>
      </w:r>
      <w:r>
        <w:rPr>
          <w:rFonts w:ascii="宋体" w:hAnsi="宋体"/>
          <w:bCs/>
          <w:color w:val="0D0D0D" w:themeColor="text1" w:themeTint="F2"/>
          <w:sz w:val="24"/>
          <w14:textFill>
            <w14:solidFill>
              <w14:schemeClr w14:val="tx1">
                <w14:lumMod w14:val="95000"/>
                <w14:lumOff w14:val="5000"/>
              </w14:schemeClr>
            </w14:solidFill>
          </w14:textFill>
        </w:rPr>
        <w:t>分别</w:t>
      </w:r>
      <w:r>
        <w:rPr>
          <w:rFonts w:hint="eastAsia" w:ascii="宋体" w:hAnsi="宋体"/>
          <w:bCs/>
          <w:color w:val="0D0D0D" w:themeColor="text1" w:themeTint="F2"/>
          <w:sz w:val="24"/>
          <w14:textFill>
            <w14:solidFill>
              <w14:schemeClr w14:val="tx1">
                <w14:lumMod w14:val="95000"/>
                <w14:lumOff w14:val="5000"/>
              </w14:schemeClr>
            </w14:solidFill>
          </w14:textFill>
        </w:rPr>
        <w:t>独立装订成册</w:t>
      </w:r>
      <w:r>
        <w:rPr>
          <w:rFonts w:ascii="宋体" w:hAnsi="宋体"/>
          <w:bCs/>
          <w:color w:val="0D0D0D" w:themeColor="text1" w:themeTint="F2"/>
          <w:sz w:val="24"/>
          <w14:textFill>
            <w14:solidFill>
              <w14:schemeClr w14:val="tx1">
                <w14:lumMod w14:val="95000"/>
                <w14:lumOff w14:val="5000"/>
              </w14:schemeClr>
            </w14:solidFill>
          </w14:textFill>
        </w:rPr>
        <w:t>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1</w:t>
      </w:r>
      <w:r>
        <w:rPr>
          <w:rFonts w:hint="eastAsia" w:ascii="宋体" w:hAnsi="宋体"/>
          <w:bCs/>
          <w:color w:val="0D0D0D" w:themeColor="text1" w:themeTint="F2"/>
          <w:sz w:val="24"/>
          <w14:textFill>
            <w14:solidFill>
              <w14:schemeClr w14:val="tx1">
                <w14:lumMod w14:val="95000"/>
                <w14:lumOff w14:val="5000"/>
              </w14:schemeClr>
            </w14:solidFill>
          </w14:textFill>
        </w:rPr>
        <w:t>、“技术标书”装订成一个单独文件；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2</w:t>
      </w:r>
      <w:r>
        <w:rPr>
          <w:rFonts w:hint="eastAsia" w:ascii="宋体" w:hAnsi="宋体"/>
          <w:bCs/>
          <w:color w:val="0D0D0D" w:themeColor="text1" w:themeTint="F2"/>
          <w:sz w:val="24"/>
          <w14:textFill>
            <w14:solidFill>
              <w14:schemeClr w14:val="tx1">
                <w14:lumMod w14:val="95000"/>
                <w14:lumOff w14:val="5000"/>
              </w14:schemeClr>
            </w14:solidFill>
          </w14:textFill>
        </w:rPr>
        <w:t>、“商务标书”装订成一个单独文件，内含三个分别装订成册的商务标书，即为：</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A包</w:t>
      </w:r>
      <w:r>
        <w:rPr>
          <w:rFonts w:hint="eastAsia" w:hAnsi="宋体"/>
          <w:bCs/>
          <w:color w:val="0D0D0D" w:themeColor="text1" w:themeTint="F2"/>
          <w:sz w:val="24"/>
          <w14:textFill>
            <w14:solidFill>
              <w14:schemeClr w14:val="tx1">
                <w14:lumMod w14:val="95000"/>
                <w14:lumOff w14:val="5000"/>
              </w14:schemeClr>
            </w14:solidFill>
          </w14:textFill>
        </w:rPr>
        <w:t>：坪山区坑梓街道项目物业定位研究服务的商务标书</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B</w:t>
      </w:r>
      <w:r>
        <w:rPr>
          <w:rFonts w:hint="eastAsia" w:ascii="宋体" w:hAnsi="宋体"/>
          <w:bCs/>
          <w:color w:val="0D0D0D" w:themeColor="text1" w:themeTint="F2"/>
          <w:sz w:val="24"/>
          <w14:textFill>
            <w14:solidFill>
              <w14:schemeClr w14:val="tx1">
                <w14:lumMod w14:val="95000"/>
                <w14:lumOff w14:val="5000"/>
              </w14:schemeClr>
            </w14:solidFill>
          </w14:textFill>
        </w:rPr>
        <w:t>包</w:t>
      </w:r>
      <w:r>
        <w:rPr>
          <w:rFonts w:hint="eastAsia" w:hAnsi="宋体"/>
          <w:bCs/>
          <w:color w:val="0D0D0D" w:themeColor="text1" w:themeTint="F2"/>
          <w:sz w:val="24"/>
          <w14:textFill>
            <w14:solidFill>
              <w14:schemeClr w14:val="tx1">
                <w14:lumMod w14:val="95000"/>
                <w14:lumOff w14:val="5000"/>
              </w14:schemeClr>
            </w14:solidFill>
          </w14:textFill>
        </w:rPr>
        <w:t>：宝安区松岗街道项目物业定位研究服务的商务标书</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C</w:t>
      </w:r>
      <w:r>
        <w:rPr>
          <w:rFonts w:hint="eastAsia" w:ascii="宋体" w:hAnsi="宋体"/>
          <w:bCs/>
          <w:color w:val="0D0D0D" w:themeColor="text1" w:themeTint="F2"/>
          <w:sz w:val="24"/>
          <w14:textFill>
            <w14:solidFill>
              <w14:schemeClr w14:val="tx1">
                <w14:lumMod w14:val="95000"/>
                <w14:lumOff w14:val="5000"/>
              </w14:schemeClr>
            </w14:solidFill>
          </w14:textFill>
        </w:rPr>
        <w:t>包</w:t>
      </w:r>
      <w:r>
        <w:rPr>
          <w:rFonts w:hint="eastAsia" w:hAnsi="宋体"/>
          <w:bCs/>
          <w:color w:val="0D0D0D" w:themeColor="text1" w:themeTint="F2"/>
          <w:sz w:val="24"/>
          <w14:textFill>
            <w14:solidFill>
              <w14:schemeClr w14:val="tx1">
                <w14:lumMod w14:val="95000"/>
                <w14:lumOff w14:val="5000"/>
              </w14:schemeClr>
            </w14:solidFill>
          </w14:textFill>
        </w:rPr>
        <w:t>：光明区新湖街道项目物业定位研究服务的商务标书</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sz w:val="24"/>
          <w:szCs w:val="24"/>
        </w:rPr>
        <w:t>将参选文件的所有技术标书、 商务标书均需统一密封包装成一包，密封加盖参选人公章。</w:t>
      </w:r>
      <w:r>
        <w:rPr>
          <w:rFonts w:hint="eastAsia" w:ascii="宋体" w:hAnsi="宋体"/>
          <w:bCs/>
          <w:color w:val="0D0D0D" w:themeColor="text1" w:themeTint="F2"/>
          <w:sz w:val="24"/>
          <w14:textFill>
            <w14:solidFill>
              <w14:schemeClr w14:val="tx1">
                <w14:lumMod w14:val="95000"/>
                <w14:lumOff w14:val="5000"/>
              </w14:schemeClr>
            </w14:solidFill>
          </w14:textFill>
        </w:rPr>
        <w:t>封面上应注明以下相应标识：</w:t>
      </w:r>
    </w:p>
    <w:p>
      <w:pPr>
        <w:pStyle w:val="24"/>
        <w:tabs>
          <w:tab w:val="right" w:pos="9026"/>
        </w:tabs>
        <w:spacing w:line="360" w:lineRule="auto"/>
        <w:ind w:firstLine="482" w:firstLineChars="200"/>
        <w:rPr>
          <w:rFonts w:hAnsi="宋体"/>
          <w:bCs/>
          <w:color w:val="0D0D0D" w:themeColor="text1" w:themeTint="F2"/>
          <w:sz w:val="24"/>
          <w14:textFill>
            <w14:solidFill>
              <w14:schemeClr w14:val="tx1">
                <w14:lumMod w14:val="95000"/>
                <w14:lumOff w14:val="5000"/>
              </w14:schemeClr>
            </w14:solidFill>
          </w14:textFill>
        </w:rPr>
      </w:pPr>
      <w:r>
        <w:rPr>
          <w:rFonts w:hint="eastAsia" w:hAnsi="宋体"/>
          <w:b/>
          <w:bCs/>
          <w:color w:val="0D0D0D" w:themeColor="text1" w:themeTint="F2"/>
          <w:sz w:val="24"/>
          <w14:textFill>
            <w14:solidFill>
              <w14:schemeClr w14:val="tx1">
                <w14:lumMod w14:val="95000"/>
                <w14:lumOff w14:val="5000"/>
              </w14:schemeClr>
            </w14:solidFill>
          </w14:textFill>
        </w:rPr>
        <w:t>项目名称：坪山区坑梓街道、宝安区松岗街道、光明区新湖街道三个项目物业定位研究服务参选</w:t>
      </w:r>
      <w:r>
        <w:rPr>
          <w:rFonts w:hAnsi="宋体"/>
          <w:b/>
          <w:bCs/>
          <w:color w:val="0D0D0D" w:themeColor="text1" w:themeTint="F2"/>
          <w:sz w:val="24"/>
          <w14:textFill>
            <w14:solidFill>
              <w14:schemeClr w14:val="tx1">
                <w14:lumMod w14:val="95000"/>
                <w14:lumOff w14:val="5000"/>
              </w14:schemeClr>
            </w14:solidFill>
          </w14:textFill>
        </w:rPr>
        <w:t>文件</w:t>
      </w:r>
      <w:r>
        <w:rPr>
          <w:rFonts w:hint="eastAsia" w:hAnsi="宋体"/>
          <w:bCs/>
          <w:color w:val="0D0D0D" w:themeColor="text1" w:themeTint="F2"/>
          <w:sz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参选人地址：</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3" w:name="_Toc36527859"/>
      <w:bookmarkStart w:id="44" w:name="_Toc197404909"/>
      <w:bookmarkStart w:id="45" w:name="_Toc88680697"/>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43"/>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44"/>
      <w:bookmarkEnd w:id="45"/>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一、参选人应按本参选须知</w:t>
      </w:r>
      <w:r>
        <w:rPr>
          <w:rFonts w:hint="eastAsia" w:ascii="宋体" w:hAnsi="宋体"/>
          <w:b/>
          <w:bCs/>
          <w:color w:val="0D0D0D" w:themeColor="text1" w:themeTint="F2"/>
          <w:sz w:val="24"/>
          <w14:textFill>
            <w14:solidFill>
              <w14:schemeClr w14:val="tx1">
                <w14:lumMod w14:val="95000"/>
                <w14:lumOff w14:val="5000"/>
              </w14:schemeClr>
            </w14:solidFill>
          </w14:textFill>
        </w:rPr>
        <w:t>规定</w:t>
      </w:r>
      <w:r>
        <w:rPr>
          <w:rFonts w:hint="eastAsia" w:ascii="宋体" w:hAnsi="宋体"/>
          <w:b/>
          <w:color w:val="0D0D0D" w:themeColor="text1" w:themeTint="F2"/>
          <w:sz w:val="24"/>
          <w14:textFill>
            <w14:solidFill>
              <w14:schemeClr w14:val="tx1">
                <w14:lumMod w14:val="95000"/>
                <w14:lumOff w14:val="5000"/>
              </w14:schemeClr>
            </w14:solidFill>
          </w14:textFill>
        </w:rPr>
        <w:t>的地点、日期和时间递交参选文件。</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1.纸质版参选文件递交地点：地铁大厦1楼评定标中心指定会议室</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2.电子版参选文件递交平台：深圳地铁智能招采系统</w:t>
      </w:r>
      <w:r>
        <w:rPr>
          <w:rFonts w:ascii="宋体" w:hAnsi="宋体"/>
          <w:color w:val="0D0D0D" w:themeColor="text1" w:themeTint="F2"/>
          <w:sz w:val="24"/>
          <w14:textFill>
            <w14:solidFill>
              <w14:schemeClr w14:val="tx1">
                <w14:lumMod w14:val="95000"/>
                <w14:lumOff w14:val="5000"/>
              </w14:schemeClr>
            </w14:solidFill>
          </w14:textFill>
        </w:rPr>
        <w:t>https://cg.shenzhenmc.com/szmccg/ananymous/jyzt/zc/gyszc</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纸质版</w:t>
      </w:r>
      <w:r>
        <w:rPr>
          <w:rFonts w:ascii="宋体" w:hAnsi="宋体"/>
          <w:color w:val="0D0D0D" w:themeColor="text1" w:themeTint="F2"/>
          <w:sz w:val="24"/>
          <w14:textFill>
            <w14:solidFill>
              <w14:schemeClr w14:val="tx1">
                <w14:lumMod w14:val="95000"/>
                <w14:lumOff w14:val="5000"/>
              </w14:schemeClr>
            </w14:solidFill>
          </w14:textFill>
        </w:rPr>
        <w:t>递交参选文件者须是法定代表人或法定代表人授权委托人</w:t>
      </w:r>
      <w:r>
        <w:rPr>
          <w:rFonts w:hint="eastAsia" w:ascii="宋体" w:hAnsi="宋体"/>
          <w:color w:val="0D0D0D" w:themeColor="text1" w:themeTint="F2"/>
          <w:sz w:val="24"/>
          <w14:textFill>
            <w14:solidFill>
              <w14:schemeClr w14:val="tx1">
                <w14:lumMod w14:val="95000"/>
                <w14:lumOff w14:val="5000"/>
              </w14:schemeClr>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46" w:name="_Toc36527860"/>
    </w:p>
    <w:p>
      <w:pPr>
        <w:spacing w:line="480" w:lineRule="atLeast"/>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二、迟到的参选文件</w:t>
      </w:r>
      <w:bookmarkEnd w:id="46"/>
    </w:p>
    <w:p>
      <w:pPr>
        <w:snapToGrid w:val="0"/>
        <w:spacing w:line="480" w:lineRule="atLeast"/>
        <w:ind w:firstLine="482"/>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在本参选须知规定的参选截止期以后</w:t>
      </w:r>
      <w:r>
        <w:rPr>
          <w:rFonts w:ascii="宋体" w:hAnsi="宋体"/>
          <w:bCs/>
          <w:color w:val="0D0D0D" w:themeColor="text1" w:themeTint="F2"/>
          <w:sz w:val="24"/>
          <w:szCs w:val="24"/>
          <w14:textFill>
            <w14:solidFill>
              <w14:schemeClr w14:val="tx1">
                <w14:lumMod w14:val="95000"/>
                <w14:lumOff w14:val="5000"/>
              </w14:schemeClr>
            </w14:solidFill>
          </w14:textFill>
        </w:rPr>
        <w:t>逾期送达的或者未送达指定地点的</w:t>
      </w: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参选文件将不</w:t>
      </w:r>
      <w:r>
        <w:rPr>
          <w:rFonts w:ascii="宋体" w:hAnsi="宋体"/>
          <w:bCs/>
          <w:color w:val="0D0D0D" w:themeColor="text1" w:themeTint="F2"/>
          <w:sz w:val="24"/>
          <w:szCs w:val="24"/>
          <w14:textFill>
            <w14:solidFill>
              <w14:schemeClr w14:val="tx1">
                <w14:lumMod w14:val="95000"/>
                <w14:lumOff w14:val="5000"/>
              </w14:schemeClr>
            </w14:solidFill>
          </w14:textFill>
        </w:rPr>
        <w:t>予受理</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rPr>
        <w:t>参选人在递交参选文件时应遵照工作人员的安排有秩序地进行。</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7" w:name="_Toc88680698"/>
      <w:bookmarkStart w:id="48" w:name="_Toc197404910"/>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47"/>
      <w:bookmarkEnd w:id="48"/>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49" w:name="_Toc197404911"/>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0" w:name="_Toc88680699"/>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49"/>
      <w:bookmarkEnd w:id="50"/>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一、截标后首先进入开标环节，比选人将于</w:t>
      </w:r>
      <w:r>
        <w:rPr>
          <w:rFonts w:ascii="宋体" w:hAnsi="宋体"/>
          <w:color w:val="0D0D0D" w:themeColor="text1" w:themeTint="F2"/>
          <w:sz w:val="24"/>
          <w:szCs w:val="24"/>
          <w14:textFill>
            <w14:solidFill>
              <w14:schemeClr w14:val="tx1">
                <w14:lumMod w14:val="95000"/>
                <w14:lumOff w14:val="5000"/>
              </w14:schemeClr>
            </w14:solidFill>
          </w14:textFill>
        </w:rPr>
        <w:t>参选须知所</w:t>
      </w:r>
      <w:r>
        <w:rPr>
          <w:rFonts w:hint="eastAsia" w:ascii="宋体" w:hAnsi="宋体"/>
          <w:color w:val="0D0D0D" w:themeColor="text1" w:themeTint="F2"/>
          <w:sz w:val="24"/>
          <w:szCs w:val="24"/>
          <w14:textFill>
            <w14:solidFill>
              <w14:schemeClr w14:val="tx1">
                <w14:lumMod w14:val="95000"/>
                <w14:lumOff w14:val="5000"/>
              </w14:schemeClr>
            </w14:solidFill>
          </w14:textFill>
        </w:rPr>
        <w:t>规定的时间和地点公开举行开标会议，并邀请所有参选人代表参加。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开标会议由比选人主持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w:t>
      </w:r>
      <w:r>
        <w:rPr>
          <w:rFonts w:ascii="宋体" w:hAnsi="宋体"/>
          <w:color w:val="0D0D0D" w:themeColor="text1" w:themeTint="F2"/>
          <w:sz w:val="24"/>
          <w:szCs w:val="24"/>
          <w14:textFill>
            <w14:solidFill>
              <w14:schemeClr w14:val="tx1">
                <w14:lumMod w14:val="95000"/>
                <w14:lumOff w14:val="5000"/>
              </w14:schemeClr>
            </w14:solidFill>
          </w14:textFill>
        </w:rPr>
        <w:t>由比选人监</w:t>
      </w:r>
      <w:r>
        <w:rPr>
          <w:rFonts w:hint="eastAsia" w:ascii="宋体" w:hAnsi="宋体"/>
          <w:color w:val="0D0D0D" w:themeColor="text1" w:themeTint="F2"/>
          <w:sz w:val="24"/>
          <w:szCs w:val="24"/>
          <w14:textFill>
            <w14:solidFill>
              <w14:schemeClr w14:val="tx1">
                <w14:lumMod w14:val="95000"/>
                <w14:lumOff w14:val="5000"/>
              </w14:schemeClr>
            </w14:solidFill>
          </w14:textFill>
        </w:rPr>
        <w:t>审人员</w:t>
      </w:r>
      <w:r>
        <w:rPr>
          <w:rFonts w:ascii="宋体" w:hAnsi="宋体"/>
          <w:color w:val="0D0D0D" w:themeColor="text1" w:themeTint="F2"/>
          <w:sz w:val="24"/>
          <w:szCs w:val="24"/>
          <w14:textFill>
            <w14:solidFill>
              <w14:schemeClr w14:val="tx1">
                <w14:lumMod w14:val="95000"/>
                <w14:lumOff w14:val="5000"/>
              </w14:schemeClr>
            </w14:solidFill>
          </w14:textFill>
        </w:rPr>
        <w:t>及参选人监督检查</w:t>
      </w:r>
      <w:r>
        <w:rPr>
          <w:rFonts w:hint="eastAsia" w:ascii="宋体" w:hAnsi="宋体"/>
          <w:color w:val="0D0D0D" w:themeColor="text1" w:themeTint="F2"/>
          <w:sz w:val="24"/>
          <w:szCs w:val="24"/>
          <w14:textFill>
            <w14:solidFill>
              <w14:schemeClr w14:val="tx1">
                <w14:lumMod w14:val="95000"/>
                <w14:lumOff w14:val="5000"/>
              </w14:schemeClr>
            </w14:solidFill>
          </w14:textFill>
        </w:rPr>
        <w:t>所有</w:t>
      </w:r>
      <w:r>
        <w:rPr>
          <w:rFonts w:ascii="宋体" w:hAnsi="宋体"/>
          <w:color w:val="0D0D0D" w:themeColor="text1" w:themeTint="F2"/>
          <w:sz w:val="24"/>
          <w:szCs w:val="24"/>
          <w14:textFill>
            <w14:solidFill>
              <w14:schemeClr w14:val="tx1">
                <w14:lumMod w14:val="95000"/>
                <w14:lumOff w14:val="5000"/>
              </w14:schemeClr>
            </w14:solidFill>
          </w14:textFill>
        </w:rPr>
        <w:t>参选文件的密封情况</w:t>
      </w:r>
      <w:r>
        <w:rPr>
          <w:rFonts w:hint="eastAsia" w:ascii="宋体" w:hAnsi="宋体"/>
          <w:color w:val="0D0D0D" w:themeColor="text1" w:themeTint="F2"/>
          <w:sz w:val="24"/>
          <w:szCs w:val="24"/>
          <w14:textFill>
            <w14:solidFill>
              <w14:schemeClr w14:val="tx1">
                <w14:lumMod w14:val="95000"/>
                <w14:lumOff w14:val="5000"/>
              </w14:schemeClr>
            </w14:solidFill>
          </w14:textFill>
        </w:rPr>
        <w:t>，也可以由比选人委托的公证机构进行检查并公证。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五、经确认无误后，由比选人当众拆封参选文件，宣读参选人名称及价格等。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六、比选人将作开标记录，并由参选人签字确认，以存档备查。</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七、按本须知规定宣布为不予受理情形的参选文件，不予送交评标委员会评审。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八、开标结束后，进入评标环节。比选人</w:t>
      </w:r>
      <w:r>
        <w:rPr>
          <w:rFonts w:hint="eastAsia" w:ascii="宋体" w:hAnsi="宋体"/>
          <w:bCs/>
          <w:color w:val="0D0D0D" w:themeColor="text1" w:themeTint="F2"/>
          <w:sz w:val="24"/>
          <w:szCs w:val="24"/>
          <w14:textFill>
            <w14:solidFill>
              <w14:schemeClr w14:val="tx1">
                <w14:lumMod w14:val="95000"/>
                <w14:lumOff w14:val="5000"/>
              </w14:schemeClr>
            </w14:solidFill>
          </w14:textFill>
        </w:rPr>
        <w:t>将比选文件移交评标委员会</w:t>
      </w:r>
      <w:r>
        <w:rPr>
          <w:rFonts w:ascii="宋体" w:hAnsi="宋体"/>
          <w:bCs/>
          <w:color w:val="0D0D0D" w:themeColor="text1" w:themeTint="F2"/>
          <w:sz w:val="24"/>
          <w:szCs w:val="24"/>
          <w14:textFill>
            <w14:solidFill>
              <w14:schemeClr w14:val="tx1">
                <w14:lumMod w14:val="95000"/>
                <w14:lumOff w14:val="5000"/>
              </w14:schemeClr>
            </w14:solidFill>
          </w14:textFill>
        </w:rPr>
        <w:t>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九、参选文件有下列情形之一的，比选人将不予受理：</w:t>
      </w:r>
    </w:p>
    <w:p>
      <w:pPr>
        <w:spacing w:line="360" w:lineRule="auto"/>
        <w:ind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（二）参选文件</w:t>
      </w:r>
      <w:r>
        <w:rPr>
          <w:rFonts w:ascii="宋体" w:hAnsi="宋体"/>
          <w:color w:val="0D0D0D" w:themeColor="text1" w:themeTint="F2"/>
          <w:sz w:val="24"/>
          <w:szCs w:val="24"/>
          <w14:textFill>
            <w14:solidFill>
              <w14:schemeClr w14:val="tx1">
                <w14:lumMod w14:val="95000"/>
                <w14:lumOff w14:val="5000"/>
              </w14:schemeClr>
            </w14:solidFill>
          </w14:textFill>
        </w:rPr>
        <w:t>未按规定密封和加盖参选人公章的</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参选</w:t>
      </w:r>
      <w:r>
        <w:rPr>
          <w:rFonts w:ascii="宋体" w:hAnsi="宋体"/>
          <w:b/>
          <w:color w:val="0D0D0D" w:themeColor="text1" w:themeTint="F2"/>
          <w:sz w:val="24"/>
          <w14:textFill>
            <w14:solidFill>
              <w14:schemeClr w14:val="tx1">
                <w14:lumMod w14:val="95000"/>
                <w14:lumOff w14:val="5000"/>
              </w14:schemeClr>
            </w14:solidFill>
          </w14:textFill>
        </w:rPr>
        <w:t>人如</w:t>
      </w:r>
      <w:r>
        <w:rPr>
          <w:rFonts w:hint="eastAsia" w:ascii="宋体" w:hAnsi="宋体"/>
          <w:b/>
          <w:color w:val="0D0D0D" w:themeColor="text1" w:themeTint="F2"/>
          <w:sz w:val="24"/>
          <w14:textFill>
            <w14:solidFill>
              <w14:schemeClr w14:val="tx1">
                <w14:lumMod w14:val="95000"/>
                <w14:lumOff w14:val="5000"/>
              </w14:schemeClr>
            </w14:solidFill>
          </w14:textFill>
        </w:rPr>
        <w:t>对比选文件</w:t>
      </w:r>
      <w:r>
        <w:rPr>
          <w:rFonts w:ascii="宋体" w:hAnsi="宋体"/>
          <w:b/>
          <w:color w:val="0D0D0D" w:themeColor="text1" w:themeTint="F2"/>
          <w:sz w:val="24"/>
          <w14:textFill>
            <w14:solidFill>
              <w14:schemeClr w14:val="tx1">
                <w14:lumMod w14:val="95000"/>
                <w14:lumOff w14:val="5000"/>
              </w14:schemeClr>
            </w14:solidFill>
          </w14:textFill>
        </w:rPr>
        <w:t>及参选文件的编制有疑问，</w:t>
      </w:r>
      <w:r>
        <w:rPr>
          <w:rFonts w:hint="eastAsia" w:ascii="宋体" w:hAnsi="宋体"/>
          <w:b/>
          <w:color w:val="0D0D0D" w:themeColor="text1" w:themeTint="F2"/>
          <w:sz w:val="24"/>
          <w14:textFill>
            <w14:solidFill>
              <w14:schemeClr w14:val="tx1">
                <w14:lumMod w14:val="95000"/>
                <w14:lumOff w14:val="5000"/>
              </w14:schemeClr>
            </w14:solidFill>
          </w14:textFill>
        </w:rPr>
        <w:t>请主动及时地</w:t>
      </w:r>
      <w:r>
        <w:rPr>
          <w:rFonts w:ascii="宋体" w:hAnsi="宋体"/>
          <w:b/>
          <w:color w:val="0D0D0D" w:themeColor="text1" w:themeTint="F2"/>
          <w:sz w:val="24"/>
          <w14:textFill>
            <w14:solidFill>
              <w14:schemeClr w14:val="tx1">
                <w14:lumMod w14:val="95000"/>
                <w14:lumOff w14:val="5000"/>
              </w14:schemeClr>
            </w14:solidFill>
          </w14:textFill>
        </w:rPr>
        <w:t>联系比选人。</w:t>
      </w:r>
    </w:p>
    <w:p>
      <w:pPr>
        <w:pStyle w:val="5"/>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51" w:name="_Toc88680700"/>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八</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51"/>
    </w:p>
    <w:p>
      <w:pPr>
        <w:spacing w:line="360" w:lineRule="auto"/>
        <w:ind w:firstLine="482"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一、开标完成结束后，进入评标环节。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评标委员会由比选人组建，采用“综合评估法”，先评技术标，再评商务标，满分为100分，其中：技术标50分，商务标50分。评标方法及评分标准详见附件《评标办法》。</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二、</w:t>
      </w:r>
      <w:r>
        <w:rPr>
          <w:rFonts w:ascii="宋体" w:hAnsi="宋体"/>
          <w:b/>
          <w:bCs/>
          <w:color w:val="0D0D0D" w:themeColor="text1" w:themeTint="F2"/>
          <w:sz w:val="24"/>
          <w:szCs w:val="24"/>
          <w14:textFill>
            <w14:solidFill>
              <w14:schemeClr w14:val="tx1">
                <w14:lumMod w14:val="95000"/>
                <w14:lumOff w14:val="5000"/>
              </w14:schemeClr>
            </w14:solidFill>
          </w14:textFill>
        </w:rPr>
        <w:t>评标</w:t>
      </w:r>
    </w:p>
    <w:p>
      <w:pPr>
        <w:pStyle w:val="114"/>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评标分2个阶段进行，先评技术标，再评商务标。</w:t>
      </w:r>
    </w:p>
    <w:p>
      <w:pPr>
        <w:pStyle w:val="114"/>
        <w:tabs>
          <w:tab w:val="left" w:pos="993"/>
        </w:tabs>
        <w:spacing w:line="360" w:lineRule="auto"/>
        <w:ind w:firstLine="424" w:firstLineChars="177"/>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第一阶段，先将所有合格参选文件的技术标书移交至评标委员会，评标委员会对参选文件的技术标书进行初步评审（有效性审查）</w:t>
      </w:r>
      <w:bookmarkStart w:id="52" w:name="_Hlk91533858"/>
      <w:r>
        <w:rPr>
          <w:rFonts w:hint="eastAsia" w:ascii="宋体" w:hAnsi="宋体"/>
          <w:color w:val="0D0D0D" w:themeColor="text1" w:themeTint="F2"/>
          <w:sz w:val="24"/>
          <w:szCs w:val="24"/>
          <w14:textFill>
            <w14:solidFill>
              <w14:schemeClr w14:val="tx1">
                <w14:lumMod w14:val="95000"/>
                <w14:lumOff w14:val="5000"/>
              </w14:schemeClr>
            </w14:solidFill>
          </w14:textFill>
        </w:rPr>
        <w:t>，只有通过初步评审的技术标书才有资格进入下一步的详细评审。</w:t>
      </w:r>
    </w:p>
    <w:bookmarkEnd w:id="52"/>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评标委员会否决无效标或者界定为废标后，</w:t>
      </w:r>
      <w:r>
        <w:rPr>
          <w:rFonts w:hint="eastAsia" w:ascii="宋体" w:hAnsi="宋体"/>
          <w:color w:val="0D0D0D" w:themeColor="text1" w:themeTint="F2"/>
          <w:sz w:val="24"/>
          <w:szCs w:val="24"/>
          <w14:textFill>
            <w14:solidFill>
              <w14:schemeClr w14:val="tx1">
                <w14:lumMod w14:val="95000"/>
                <w14:lumOff w14:val="5000"/>
              </w14:schemeClr>
            </w14:solidFill>
          </w14:textFill>
        </w:rPr>
        <w:t>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 ，</w:t>
      </w:r>
      <w:r>
        <w:rPr>
          <w:rFonts w:hint="eastAsia" w:ascii="宋体" w:hAnsi="宋体"/>
          <w:bCs/>
          <w:sz w:val="24"/>
          <w:szCs w:val="24"/>
        </w:rPr>
        <w:t>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bCs/>
          <w:sz w:val="24"/>
          <w:szCs w:val="24"/>
        </w:rPr>
        <w:t xml:space="preserve"> 技术标初步审查完成后，参选人对参选人的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技术标书进行详细评审，完成技术标详细评审表（详见评标附表）。</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 w:val="24"/>
          <w:szCs w:val="24"/>
        </w:rPr>
        <w:t>技术标评审结束后，</w:t>
      </w:r>
      <w:r>
        <w:rPr>
          <w:rFonts w:hint="eastAsia" w:ascii="宋体" w:hAnsi="宋体"/>
          <w:color w:val="0D0D0D" w:themeColor="text1" w:themeTint="F2"/>
          <w:sz w:val="24"/>
          <w:szCs w:val="24"/>
          <w14:textFill>
            <w14:solidFill>
              <w14:schemeClr w14:val="tx1">
                <w14:lumMod w14:val="95000"/>
                <w14:lumOff w14:val="5000"/>
              </w14:schemeClr>
            </w14:solidFill>
          </w14:textFill>
        </w:rPr>
        <w:t>将商务标书移交评标委员会，评标委员会按A包—B包—C包的评审顺序进行商务标评审，同时汇总各包各参选人技术标及商务标分值。</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（1）评标委员会对A包的商务标部分进行初步评审（有效性审查），只有通过初步评审的A包商务标文件才有资格进入下一步的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A</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包详细评审。经A包商务标初步审查，评标委员会作出无效标或者废标处理，致有效参选人不足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A</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包商务标分数计算完毕后，汇总各参选人技术标及商务标分值，评委按照参选人的最终得分值由高到低排列名次。推荐排名第一的参选人为A包的中选候选人。A包的中选候选人不再参与B包、C包的评审。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（2）评标委员会对</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包的商务标部分进行初步评审（有效性审查），只有通过初步评审的</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包详细评审。经</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详细评审环节：评标委员会对参选人B包的商务标进行评审，按照商务标计算公式，完成商务标分数计算。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推荐排名第一的参选人为B包的中选候选人。B包的中选候选人不再参与C包商务标的评审。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包的商务标部分进行初步评审（有效性审查），只有通过初步评审的</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包详细评审。经</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包商务标初步审查，评标委员会作出无效标或者废标处理，致有效参选人不足3家，比选人宣布本次比选失败，重新组织比选。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详细评审环节：评标委员会对参选人C包的商务标进行评审，按照商务标计算公式，完成商务标分数计算。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推荐排名第一的参选人为C包的中选候选人。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204"/>
        <w:tabs>
          <w:tab w:val="left" w:pos="993"/>
        </w:tabs>
        <w:spacing w:line="360" w:lineRule="auto"/>
        <w:ind w:firstLine="0" w:firstLineChars="0"/>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bookmarkStart w:id="53"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bookmarkEnd w:id="53"/>
    <w:p>
      <w:pPr>
        <w:pStyle w:val="3"/>
        <w:tabs>
          <w:tab w:val="left" w:pos="2460"/>
        </w:tabs>
        <w:adjustRightInd w:val="0"/>
        <w:snapToGrid w:val="0"/>
        <w:ind w:left="0" w:leftChars="0" w:firstLine="480" w:firstLineChars="200"/>
        <w:jc w:val="left"/>
        <w:rPr>
          <w:rFonts w:ascii="宋体" w:hAnsi="宋体"/>
          <w:color w:val="0D0D0D" w:themeColor="text1" w:themeTint="F2"/>
          <w:sz w:val="24"/>
          <w:szCs w:val="24"/>
          <w14:textFill>
            <w14:solidFill>
              <w14:schemeClr w14:val="tx1">
                <w14:lumMod w14:val="95000"/>
                <w14:lumOff w14:val="5000"/>
              </w14:schemeClr>
            </w14:solidFill>
          </w14:textFill>
        </w:rPr>
      </w:pP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4" w:name="_Toc197404913"/>
      <w:bookmarkStart w:id="55" w:name="_Toc434234592"/>
      <w:bookmarkStart w:id="56" w:name="_Toc388259588"/>
      <w:bookmarkStart w:id="57" w:name="_Toc290560899"/>
      <w:bookmarkStart w:id="58" w:name="_Toc88680701"/>
      <w:bookmarkStart w:id="59" w:name="_Toc197404912"/>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54"/>
      <w:bookmarkEnd w:id="55"/>
      <w:bookmarkEnd w:id="56"/>
      <w:bookmarkEnd w:id="57"/>
      <w:bookmarkEnd w:id="58"/>
    </w:p>
    <w:p>
      <w:pPr>
        <w:pStyle w:val="24"/>
        <w:adjustRightInd/>
        <w:snapToGrid w:val="0"/>
        <w:spacing w:line="480" w:lineRule="atLeast"/>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在参选有效期内，比选人将中选结果在比选人网站公示，</w:t>
      </w:r>
      <w:r>
        <w:rPr>
          <w:rFonts w:hint="eastAsia" w:hAnsi="宋体"/>
          <w:bCs/>
          <w:color w:val="0D0D0D" w:themeColor="text1" w:themeTint="F2"/>
          <w:sz w:val="24"/>
          <w14:textFill>
            <w14:solidFill>
              <w14:schemeClr w14:val="tx1">
                <w14:lumMod w14:val="95000"/>
                <w14:lumOff w14:val="5000"/>
              </w14:schemeClr>
            </w14:solidFill>
          </w14:textFill>
        </w:rPr>
        <w:t>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60" w:name="_Toc88680702"/>
      <w:r>
        <w:rPr>
          <w:rFonts w:hint="eastAsia" w:ascii="宋体" w:hAnsi="宋体" w:eastAsia="宋体"/>
          <w:b/>
          <w:bCs/>
          <w:color w:val="0D0D0D" w:themeColor="text1" w:themeTint="F2"/>
          <w14:textFill>
            <w14:solidFill>
              <w14:schemeClr w14:val="tx1">
                <w14:lumMod w14:val="95000"/>
                <w14:lumOff w14:val="5000"/>
              </w14:schemeClr>
            </w14:solidFill>
          </w14:textFill>
        </w:rPr>
        <w:t>第十章  合同的授予</w:t>
      </w:r>
      <w:bookmarkEnd w:id="60"/>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ascii="宋体" w:hAnsi="宋体"/>
          <w:b/>
          <w:bCs/>
          <w:color w:val="0D0D0D" w:themeColor="text1" w:themeTint="F2"/>
          <w:sz w:val="24"/>
          <w:u w:val="single"/>
          <w14:textFill>
            <w14:solidFill>
              <w14:schemeClr w14:val="tx1">
                <w14:lumMod w14:val="95000"/>
                <w14:lumOff w14:val="5000"/>
              </w14:schemeClr>
            </w14:solidFill>
          </w14:textFill>
        </w:rPr>
        <w:t>30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三、中选人如不按规定与比选人签订合同</w:t>
      </w:r>
      <w:r>
        <w:rPr>
          <w:rFonts w:ascii="宋体" w:hAnsi="宋体"/>
          <w:color w:val="0D0D0D" w:themeColor="text1" w:themeTint="F2"/>
          <w:sz w:val="24"/>
          <w14:textFill>
            <w14:solidFill>
              <w14:schemeClr w14:val="tx1">
                <w14:lumMod w14:val="95000"/>
                <w14:lumOff w14:val="5000"/>
              </w14:schemeClr>
            </w14:solidFill>
          </w14:textFill>
        </w:rPr>
        <w:t>，或在合同履行过程中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w:t>
      </w:r>
      <w:r>
        <w:rPr>
          <w:rFonts w:hint="eastAsia" w:ascii="宋体" w:hAnsi="宋体"/>
          <w:color w:val="0D0D0D" w:themeColor="text1" w:themeTint="F2"/>
          <w:sz w:val="24"/>
          <w14:textFill>
            <w14:solidFill>
              <w14:schemeClr w14:val="tx1">
                <w14:lumMod w14:val="95000"/>
                <w14:lumOff w14:val="5000"/>
              </w14:schemeClr>
            </w14:solidFill>
          </w14:textFill>
        </w:rPr>
        <w:t>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、本项目</w:t>
      </w:r>
      <w:r>
        <w:rPr>
          <w:rFonts w:hint="eastAsia" w:ascii="宋体" w:hAnsi="宋体"/>
          <w:color w:val="0D0D0D" w:themeColor="text1" w:themeTint="F2"/>
          <w:sz w:val="24"/>
          <w14:textFill>
            <w14:solidFill>
              <w14:schemeClr w14:val="tx1">
                <w14:lumMod w14:val="95000"/>
                <w14:lumOff w14:val="5000"/>
              </w14:schemeClr>
            </w14:solidFill>
          </w14:textFill>
        </w:rPr>
        <w:t>根据</w:t>
      </w:r>
      <w:r>
        <w:rPr>
          <w:rFonts w:ascii="宋体" w:hAnsi="宋体"/>
          <w:color w:val="0D0D0D" w:themeColor="text1" w:themeTint="F2"/>
          <w:sz w:val="24"/>
          <w14:textFill>
            <w14:solidFill>
              <w14:schemeClr w14:val="tx1">
                <w14:lumMod w14:val="95000"/>
                <w14:lumOff w14:val="5000"/>
              </w14:schemeClr>
            </w14:solidFill>
          </w14:textFill>
        </w:rPr>
        <w:t>项目不同，分</w:t>
      </w:r>
      <w:r>
        <w:rPr>
          <w:rFonts w:hint="eastAsia" w:ascii="宋体" w:hAnsi="宋体"/>
          <w:color w:val="0D0D0D" w:themeColor="text1" w:themeTint="F2"/>
          <w:sz w:val="24"/>
          <w14:textFill>
            <w14:solidFill>
              <w14:schemeClr w14:val="tx1">
                <w14:lumMod w14:val="95000"/>
                <w14:lumOff w14:val="5000"/>
              </w14:schemeClr>
            </w14:solidFill>
          </w14:textFill>
        </w:rPr>
        <w:t>项目分别</w:t>
      </w:r>
      <w:r>
        <w:rPr>
          <w:rFonts w:ascii="宋体" w:hAnsi="宋体"/>
          <w:color w:val="0D0D0D" w:themeColor="text1" w:themeTint="F2"/>
          <w:sz w:val="24"/>
          <w14:textFill>
            <w14:solidFill>
              <w14:schemeClr w14:val="tx1">
                <w14:lumMod w14:val="95000"/>
                <w14:lumOff w14:val="5000"/>
              </w14:schemeClr>
            </w14:solidFill>
          </w14:textFill>
        </w:rPr>
        <w:t>签订合同。</w:t>
      </w:r>
      <w:r>
        <w:rPr>
          <w:rFonts w:hint="eastAsia" w:ascii="宋体" w:hAnsi="宋体"/>
          <w:color w:val="0D0D0D" w:themeColor="text1" w:themeTint="F2"/>
          <w:sz w:val="24"/>
          <w14:textFill>
            <w14:solidFill>
              <w14:schemeClr w14:val="tx1">
                <w14:lumMod w14:val="95000"/>
                <w14:lumOff w14:val="5000"/>
              </w14:schemeClr>
            </w14:solidFill>
          </w14:textFill>
        </w:rPr>
        <w:t>《坪山区坑梓街道项目物业定位研究服务合同》的签约主体为深圳地铁置业集团有限公司；《宝安区松岗街道项目物业定位研究服务合同》、《光明区新湖街道项目物业定位研究服务合同》的签约主体为深圳地铁前海国际发展有限公司</w:t>
      </w:r>
      <w:r>
        <w:rPr>
          <w:rFonts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5"/>
        <w:spacing w:line="480" w:lineRule="atLeast"/>
        <w:rPr>
          <w:rFonts w:ascii="宋体" w:hAnsi="宋体" w:eastAsia="宋体"/>
          <w:b/>
          <w:bCs/>
          <w:color w:val="0D0D0D" w:themeColor="text1" w:themeTint="F2"/>
          <w:sz w:val="40"/>
          <w:szCs w:val="24"/>
          <w14:textFill>
            <w14:solidFill>
              <w14:schemeClr w14:val="tx1">
                <w14:lumMod w14:val="95000"/>
                <w14:lumOff w14:val="5000"/>
              </w14:schemeClr>
            </w14:solidFill>
          </w14:textFill>
        </w:rPr>
      </w:pPr>
      <w:bookmarkStart w:id="61" w:name="_Toc88680703"/>
      <w:bookmarkStart w:id="62" w:name="_Toc399494429"/>
      <w:r>
        <w:rPr>
          <w:rFonts w:hint="eastAsia" w:ascii="宋体" w:hAnsi="宋体" w:eastAsia="宋体"/>
          <w:b/>
          <w:bCs/>
          <w:color w:val="0D0D0D" w:themeColor="text1" w:themeTint="F2"/>
          <w:sz w:val="40"/>
          <w:szCs w:val="24"/>
          <w14:textFill>
            <w14:solidFill>
              <w14:schemeClr w14:val="tx1">
                <w14:lumMod w14:val="95000"/>
                <w14:lumOff w14:val="5000"/>
              </w14:schemeClr>
            </w14:solidFill>
          </w14:textFill>
        </w:rPr>
        <w:t>附件</w:t>
      </w:r>
      <w:bookmarkEnd w:id="61"/>
    </w:p>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63" w:name="_Toc88680704"/>
      <w:r>
        <w:rPr>
          <w:rFonts w:hint="eastAsia" w:ascii="宋体" w:hAnsi="宋体"/>
          <w:b w:val="0"/>
          <w:color w:val="0D0D0D" w:themeColor="text1" w:themeTint="F2"/>
          <w:sz w:val="44"/>
          <w:szCs w:val="44"/>
          <w14:textFill>
            <w14:solidFill>
              <w14:schemeClr w14:val="tx1">
                <w14:lumMod w14:val="95000"/>
                <w14:lumOff w14:val="5000"/>
              </w14:schemeClr>
            </w14:solidFill>
          </w14:textFill>
        </w:rPr>
        <w:t>第一篇 评标</w:t>
      </w:r>
      <w:bookmarkEnd w:id="62"/>
      <w:r>
        <w:rPr>
          <w:rFonts w:hint="eastAsia" w:ascii="宋体" w:hAnsi="宋体"/>
          <w:b w:val="0"/>
          <w:color w:val="0D0D0D" w:themeColor="text1" w:themeTint="F2"/>
          <w:sz w:val="44"/>
          <w:szCs w:val="44"/>
          <w14:textFill>
            <w14:solidFill>
              <w14:schemeClr w14:val="tx1">
                <w14:lumMod w14:val="95000"/>
                <w14:lumOff w14:val="5000"/>
              </w14:schemeClr>
            </w14:solidFill>
          </w14:textFill>
        </w:rPr>
        <w:t>办法</w:t>
      </w:r>
      <w:bookmarkEnd w:id="63"/>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4" w:name="_Toc276575939"/>
      <w:bookmarkStart w:id="65" w:name="_Toc88680705"/>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64"/>
      <w:bookmarkEnd w:id="65"/>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6" w:name="_Toc88680706"/>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66"/>
    </w:p>
    <w:p>
      <w:pPr>
        <w:tabs>
          <w:tab w:val="left" w:pos="420"/>
        </w:tabs>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由比选人在开标前成立评标委员会。</w:t>
      </w:r>
      <w:r>
        <w:rPr>
          <w:rFonts w:hint="eastAsia" w:ascii="宋体" w:hAnsi="宋体"/>
          <w:color w:val="0D0D0D" w:themeColor="text1" w:themeTint="F2"/>
          <w:sz w:val="24"/>
          <w14:textFill>
            <w14:solidFill>
              <w14:schemeClr w14:val="tx1">
                <w14:lumMod w14:val="95000"/>
                <w14:lumOff w14:val="5000"/>
              </w14:schemeClr>
            </w14:solidFill>
          </w14:textFill>
        </w:rPr>
        <w:t>评标委员会由</w:t>
      </w:r>
      <w:r>
        <w:rPr>
          <w:rFonts w:ascii="宋体" w:hAnsi="宋体"/>
          <w:color w:val="0D0D0D" w:themeColor="text1" w:themeTint="F2"/>
          <w:sz w:val="24"/>
          <w14:textFill>
            <w14:solidFill>
              <w14:schemeClr w14:val="tx1">
                <w14:lumMod w14:val="95000"/>
                <w14:lumOff w14:val="5000"/>
              </w14:schemeClr>
            </w14:solidFill>
          </w14:textFill>
        </w:rPr>
        <w:t>7位评委</w:t>
      </w:r>
      <w:r>
        <w:rPr>
          <w:rFonts w:hint="eastAsia" w:ascii="宋体" w:hAnsi="宋体"/>
          <w:color w:val="0D0D0D" w:themeColor="text1" w:themeTint="F2"/>
          <w:sz w:val="24"/>
          <w14:textFill>
            <w14:solidFill>
              <w14:schemeClr w14:val="tx1">
                <w14:lumMod w14:val="95000"/>
                <w14:lumOff w14:val="5000"/>
              </w14:schemeClr>
            </w14:solidFill>
          </w14:textFill>
        </w:rPr>
        <w:t>组成，深铁置业纪检监察室派员全程监督。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7" w:name="_Toc88680707"/>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67"/>
    </w:p>
    <w:p>
      <w:pPr>
        <w:spacing w:line="360" w:lineRule="auto"/>
        <w:ind w:firstLine="480" w:firstLineChars="200"/>
        <w:rPr>
          <w:rFonts w:ascii="宋体" w:hAnsi="宋体"/>
          <w:bCs/>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hint="eastAsia" w:ascii="宋体" w:hAnsi="宋体"/>
          <w:sz w:val="24"/>
          <w:szCs w:val="24"/>
        </w:rPr>
        <w:t>本次评标采用“综合评分法”</w:t>
      </w:r>
      <w:r>
        <w:rPr>
          <w:rFonts w:hint="eastAsia" w:ascii="宋体" w:hAnsi="宋体"/>
          <w:bCs/>
          <w:sz w:val="24"/>
          <w:szCs w:val="24"/>
        </w:rPr>
        <w:t>，先评技术标，再评商务标，满分为100分，其中：技术标50分，商务标50分。</w:t>
      </w:r>
    </w:p>
    <w:p>
      <w:pPr>
        <w:spacing w:line="360" w:lineRule="auto"/>
        <w:ind w:firstLine="480" w:firstLineChars="200"/>
        <w:rPr>
          <w:rFonts w:ascii="宋体" w:hAnsi="宋体"/>
          <w:sz w:val="24"/>
        </w:rPr>
      </w:pPr>
      <w:r>
        <w:rPr>
          <w:rFonts w:hint="eastAsia" w:ascii="宋体" w:hAnsi="宋体"/>
          <w:sz w:val="24"/>
        </w:rPr>
        <w:t>本项目“一标三包”（A包、B包和C包）</w:t>
      </w:r>
    </w:p>
    <w:p>
      <w:pPr>
        <w:spacing w:line="360" w:lineRule="auto"/>
        <w:ind w:firstLine="480" w:firstLineChars="200"/>
        <w:rPr>
          <w:rFonts w:ascii="宋体" w:hAnsi="宋体"/>
          <w:bCs/>
          <w:color w:val="0D0D0D" w:themeColor="text1" w:themeTint="F2"/>
          <w:kern w:val="0"/>
          <w:sz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14:textFill>
            <w14:solidFill>
              <w14:schemeClr w14:val="tx1">
                <w14:lumMod w14:val="95000"/>
                <w14:lumOff w14:val="5000"/>
              </w14:schemeClr>
            </w14:solidFill>
          </w14:textFill>
        </w:rPr>
        <w:t xml:space="preserve">A包：坪山区坑梓街道项目物业定位研究服务； </w:t>
      </w:r>
    </w:p>
    <w:p>
      <w:pPr>
        <w:spacing w:line="360" w:lineRule="auto"/>
        <w:ind w:firstLine="480" w:firstLineChars="200"/>
        <w:rPr>
          <w:rFonts w:ascii="宋体" w:hAnsi="宋体"/>
          <w:bCs/>
          <w:color w:val="0D0D0D" w:themeColor="text1" w:themeTint="F2"/>
          <w:kern w:val="0"/>
          <w:sz w:val="24"/>
          <w14:textFill>
            <w14:solidFill>
              <w14:schemeClr w14:val="tx1">
                <w14:lumMod w14:val="95000"/>
                <w14:lumOff w14:val="5000"/>
              </w14:schemeClr>
            </w14:solidFill>
          </w14:textFill>
        </w:rPr>
      </w:pPr>
      <w:r>
        <w:rPr>
          <w:rFonts w:ascii="宋体" w:hAnsi="宋体"/>
          <w:bCs/>
          <w:color w:val="0D0D0D" w:themeColor="text1" w:themeTint="F2"/>
          <w:kern w:val="0"/>
          <w:sz w:val="24"/>
          <w14:textFill>
            <w14:solidFill>
              <w14:schemeClr w14:val="tx1">
                <w14:lumMod w14:val="95000"/>
                <w14:lumOff w14:val="5000"/>
              </w14:schemeClr>
            </w14:solidFill>
          </w14:textFill>
        </w:rPr>
        <w:t>B</w:t>
      </w:r>
      <w:r>
        <w:rPr>
          <w:rFonts w:hint="eastAsia" w:ascii="宋体" w:hAnsi="宋体"/>
          <w:bCs/>
          <w:color w:val="0D0D0D" w:themeColor="text1" w:themeTint="F2"/>
          <w:kern w:val="0"/>
          <w:sz w:val="24"/>
          <w14:textFill>
            <w14:solidFill>
              <w14:schemeClr w14:val="tx1">
                <w14:lumMod w14:val="95000"/>
                <w14:lumOff w14:val="5000"/>
              </w14:schemeClr>
            </w14:solidFill>
          </w14:textFill>
        </w:rPr>
        <w:t>包：宝安区松岗街道</w:t>
      </w:r>
      <w:r>
        <w:rPr>
          <w:rFonts w:ascii="宋体" w:hAnsi="宋体"/>
          <w:bCs/>
          <w:color w:val="0D0D0D" w:themeColor="text1" w:themeTint="F2"/>
          <w:kern w:val="0"/>
          <w:sz w:val="24"/>
          <w14:textFill>
            <w14:solidFill>
              <w14:schemeClr w14:val="tx1">
                <w14:lumMod w14:val="95000"/>
                <w14:lumOff w14:val="5000"/>
              </w14:schemeClr>
            </w14:solidFill>
          </w14:textFill>
        </w:rPr>
        <w:t>项目物业定位研究服务</w:t>
      </w:r>
      <w:r>
        <w:rPr>
          <w:rFonts w:hint="eastAsia" w:ascii="宋体" w:hAnsi="宋体"/>
          <w:bCs/>
          <w:color w:val="0D0D0D" w:themeColor="text1" w:themeTint="F2"/>
          <w:kern w:val="0"/>
          <w:sz w:val="24"/>
          <w14:textFill>
            <w14:solidFill>
              <w14:schemeClr w14:val="tx1">
                <w14:lumMod w14:val="95000"/>
                <w14:lumOff w14:val="5000"/>
              </w14:schemeClr>
            </w14:solidFill>
          </w14:textFill>
        </w:rPr>
        <w:t>；</w:t>
      </w:r>
    </w:p>
    <w:p>
      <w:pPr>
        <w:spacing w:line="360" w:lineRule="auto"/>
        <w:ind w:firstLine="480" w:firstLineChars="200"/>
        <w:rPr>
          <w:rFonts w:ascii="宋体" w:hAnsi="宋体"/>
          <w:bCs/>
          <w:color w:val="0D0D0D" w:themeColor="text1" w:themeTint="F2"/>
          <w:kern w:val="0"/>
          <w:sz w:val="24"/>
          <w14:textFill>
            <w14:solidFill>
              <w14:schemeClr w14:val="tx1">
                <w14:lumMod w14:val="95000"/>
                <w14:lumOff w14:val="5000"/>
              </w14:schemeClr>
            </w14:solidFill>
          </w14:textFill>
        </w:rPr>
      </w:pPr>
      <w:r>
        <w:rPr>
          <w:rFonts w:ascii="宋体" w:hAnsi="宋体"/>
          <w:bCs/>
          <w:color w:val="0D0D0D" w:themeColor="text1" w:themeTint="F2"/>
          <w:kern w:val="0"/>
          <w:sz w:val="24"/>
          <w14:textFill>
            <w14:solidFill>
              <w14:schemeClr w14:val="tx1">
                <w14:lumMod w14:val="95000"/>
                <w14:lumOff w14:val="5000"/>
              </w14:schemeClr>
            </w14:solidFill>
          </w14:textFill>
        </w:rPr>
        <w:t>C</w:t>
      </w:r>
      <w:r>
        <w:rPr>
          <w:rFonts w:hint="eastAsia" w:ascii="宋体" w:hAnsi="宋体"/>
          <w:bCs/>
          <w:color w:val="0D0D0D" w:themeColor="text1" w:themeTint="F2"/>
          <w:kern w:val="0"/>
          <w:sz w:val="24"/>
          <w14:textFill>
            <w14:solidFill>
              <w14:schemeClr w14:val="tx1">
                <w14:lumMod w14:val="95000"/>
                <w14:lumOff w14:val="5000"/>
              </w14:schemeClr>
            </w14:solidFill>
          </w14:textFill>
        </w:rPr>
        <w:t>包：光明区新湖街道</w:t>
      </w:r>
      <w:r>
        <w:rPr>
          <w:rFonts w:ascii="宋体" w:hAnsi="宋体"/>
          <w:bCs/>
          <w:color w:val="0D0D0D" w:themeColor="text1" w:themeTint="F2"/>
          <w:kern w:val="0"/>
          <w:sz w:val="24"/>
          <w14:textFill>
            <w14:solidFill>
              <w14:schemeClr w14:val="tx1">
                <w14:lumMod w14:val="95000"/>
                <w14:lumOff w14:val="5000"/>
              </w14:schemeClr>
            </w14:solidFill>
          </w14:textFill>
        </w:rPr>
        <w:t>项目物业定位研究服务</w:t>
      </w:r>
      <w:r>
        <w:rPr>
          <w:rFonts w:hint="eastAsia" w:ascii="宋体" w:hAnsi="宋体"/>
          <w:bCs/>
          <w:color w:val="0D0D0D" w:themeColor="text1" w:themeTint="F2"/>
          <w:kern w:val="0"/>
          <w:sz w:val="24"/>
          <w14:textFill>
            <w14:solidFill>
              <w14:schemeClr w14:val="tx1">
                <w14:lumMod w14:val="95000"/>
                <w14:lumOff w14:val="5000"/>
              </w14:schemeClr>
            </w14:solidFill>
          </w14:textFill>
        </w:rPr>
        <w:t>。</w:t>
      </w:r>
    </w:p>
    <w:p>
      <w:pPr>
        <w:spacing w:line="360" w:lineRule="auto"/>
        <w:ind w:firstLine="480" w:firstLineChars="200"/>
        <w:rPr>
          <w:rFonts w:ascii="宋体" w:hAnsi="宋体"/>
          <w:bCs/>
          <w:sz w:val="24"/>
          <w:szCs w:val="24"/>
        </w:rPr>
      </w:pPr>
      <w:r>
        <w:rPr>
          <w:rFonts w:hint="eastAsia" w:ascii="宋体" w:hAnsi="宋体"/>
          <w:sz w:val="24"/>
          <w:szCs w:val="24"/>
        </w:rPr>
        <w:t>评标委员会先</w:t>
      </w:r>
      <w:r>
        <w:rPr>
          <w:rFonts w:hint="eastAsia" w:ascii="宋体" w:hAnsi="宋体"/>
          <w:b/>
          <w:sz w:val="24"/>
          <w:szCs w:val="24"/>
        </w:rPr>
        <w:t>按照技术标评分标准对各参选人技术文件进行打分，各评委评分的算术平均值为该参选人技术标得分。</w:t>
      </w:r>
    </w:p>
    <w:p>
      <w:pPr>
        <w:spacing w:line="360" w:lineRule="auto"/>
        <w:ind w:firstLine="480" w:firstLineChars="200"/>
        <w:rPr>
          <w:rFonts w:ascii="宋体" w:hAnsi="宋体"/>
          <w:sz w:val="24"/>
          <w:szCs w:val="24"/>
        </w:rPr>
      </w:pPr>
      <w:r>
        <w:rPr>
          <w:rFonts w:hint="eastAsia" w:ascii="宋体" w:hAnsi="宋体"/>
          <w:sz w:val="24"/>
          <w:szCs w:val="24"/>
        </w:rPr>
        <w:t>然后评标委员会</w:t>
      </w:r>
      <w:r>
        <w:rPr>
          <w:rFonts w:hint="eastAsia" w:ascii="宋体" w:hAnsi="宋体"/>
          <w:color w:val="0D0D0D" w:themeColor="text1" w:themeTint="F2"/>
          <w:sz w:val="24"/>
          <w:szCs w:val="24"/>
          <w14:textFill>
            <w14:solidFill>
              <w14:schemeClr w14:val="tx1">
                <w14:lumMod w14:val="95000"/>
                <w14:lumOff w14:val="5000"/>
              </w14:schemeClr>
            </w14:solidFill>
          </w14:textFill>
        </w:rPr>
        <w:t>按A包—B包—C包的顺序，</w:t>
      </w:r>
      <w:r>
        <w:rPr>
          <w:rFonts w:hint="eastAsia" w:ascii="宋体" w:hAnsi="宋体"/>
          <w:b/>
          <w:sz w:val="24"/>
          <w:szCs w:val="24"/>
        </w:rPr>
        <w:t>按照商务标计算公式对各参选人商务报价进行评分，最后按顺序汇总各包参选人技术及商务标得分，</w:t>
      </w:r>
      <w:r>
        <w:rPr>
          <w:rFonts w:hint="eastAsia" w:ascii="宋体" w:hAnsi="宋体"/>
          <w:sz w:val="24"/>
          <w:szCs w:val="24"/>
        </w:rPr>
        <w:t>并按照参选人的最终得分值由高到低排列名次。各包若出现综合得分相同的情形，以技术标得分高者排在先；若技术标得分相同的（以保留小数点后两位且四舍五入为准），以商务标报价低者排在先；若报价相同的，以抽签的形式确定中选候选人。</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已开包段的中选候选人不再参与后续包段的评审。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最终，评委针对各包分别推荐一名中选候选人，共</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名中选候选人。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（二）评标程序</w:t>
      </w:r>
    </w:p>
    <w:p>
      <w:pPr>
        <w:pStyle w:val="114"/>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评标分2阶段进行，先评技术标，再评商务标。</w:t>
      </w:r>
    </w:p>
    <w:p>
      <w:pPr>
        <w:pStyle w:val="114"/>
        <w:tabs>
          <w:tab w:val="left" w:pos="993"/>
        </w:tabs>
        <w:spacing w:line="360" w:lineRule="auto"/>
        <w:ind w:firstLine="424" w:firstLineChars="177"/>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评标委员会否决无效标或者界定为废标后，</w:t>
      </w:r>
      <w:r>
        <w:rPr>
          <w:rFonts w:hint="eastAsia" w:ascii="宋体" w:hAnsi="宋体"/>
          <w:color w:val="0D0D0D" w:themeColor="text1" w:themeTint="F2"/>
          <w:sz w:val="24"/>
          <w:szCs w:val="24"/>
          <w14:textFill>
            <w14:solidFill>
              <w14:schemeClr w14:val="tx1">
                <w14:lumMod w14:val="95000"/>
                <w14:lumOff w14:val="5000"/>
              </w14:schemeClr>
            </w14:solidFill>
          </w14:textFill>
        </w:rPr>
        <w:t>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 ，</w:t>
      </w:r>
      <w:r>
        <w:rPr>
          <w:rFonts w:hint="eastAsia" w:ascii="宋体" w:hAnsi="宋体"/>
          <w:bCs/>
          <w:sz w:val="24"/>
          <w:szCs w:val="24"/>
        </w:rPr>
        <w:t>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bCs/>
          <w:sz w:val="24"/>
          <w:szCs w:val="24"/>
        </w:rPr>
        <w:t xml:space="preserve"> 技术标初步审查完成后，参选人对参选人的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技术标书进行详细评审，完成技术标详细评审表（详见评标附表）。</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 w:val="24"/>
          <w:szCs w:val="24"/>
        </w:rPr>
        <w:t>技术标评审结束后，</w:t>
      </w:r>
      <w:r>
        <w:rPr>
          <w:rFonts w:hint="eastAsia" w:ascii="宋体" w:hAnsi="宋体"/>
          <w:color w:val="0D0D0D" w:themeColor="text1" w:themeTint="F2"/>
          <w:sz w:val="24"/>
          <w:szCs w:val="24"/>
          <w14:textFill>
            <w14:solidFill>
              <w14:schemeClr w14:val="tx1">
                <w14:lumMod w14:val="95000"/>
                <w14:lumOff w14:val="5000"/>
              </w14:schemeClr>
            </w14:solidFill>
          </w14:textFill>
        </w:rPr>
        <w:t>将商务标书移交评标委员会，评标委员会按A包—B包—C包的评审顺序进行商务标评审，同时汇总各包各参选人技术标及商务标分值。</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（1）评标委员会对A包的商务标部分进行初步评审（有效性审查），只有通过初步评审的A包商务标文件才有资格进入下一步的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A</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包详细评审。经A包商务标初步审查，评标委员会作出无效标或者废标处理，致有效参选人不足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A</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包商务标分数计算完毕后，汇总各参选人技术标及商务标分值，评委按照参选人的最终得分值由高到低排列名次。推荐排名第一的参选人为A包的中选候选人。A包的中选候选人不再参与B包、C包的评审。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（2）评标委员会对</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包的商务标部分进行初步评审（有效性审查），只有通过初步评审的</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包详细评审。经</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详细评审环节：评标委员会对参选人B包的商务标进行评审，按照商务标计算公式，完成商务标分数计算。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推荐排名第一的参选人为B包的中选候选人。B包的中选候选人不再参与C包商务标的评审。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包的商务标部分进行初步评审（有效性审查），只有通过初步评审的</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包详细评审。经</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包商务标初步审查，评标委员会作出无效标或者废标处理，致有效参选人不足3家，比选人宣布本次比选失败，重新组织比选。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详细评审环节：评标委员会对参选人C包的商务标进行评审，按照商务标计算公式，完成商务标分数计算。</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包商务标分数计算完毕后，汇总各参选人技术标及商务标分值，评委按照参选人的最终得分值由高到低排列名次。</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推荐排名第一的参选人为C包的中选候选人。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若各参选人的报价，如出现税率不一致的情况，则以不含税总价作为参选人的报价进行计算；若税率一致，则以含税总价作为参选人的报价进行计算。</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最终，评委针对各包分别推荐一名中选候选人，共</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名中选候选人，并形成评标报告。</w:t>
      </w:r>
    </w:p>
    <w:p>
      <w:pPr>
        <w:pStyle w:val="204"/>
        <w:tabs>
          <w:tab w:val="left" w:pos="993"/>
        </w:tabs>
        <w:spacing w:line="360" w:lineRule="auto"/>
        <w:ind w:firstLine="424" w:firstLineChars="177"/>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8" w:name="_Toc88680708"/>
      <w:r>
        <w:rPr>
          <w:rFonts w:hint="eastAsia" w:ascii="宋体" w:hAnsi="宋体"/>
          <w:bCs/>
          <w:color w:val="0D0D0D" w:themeColor="text1" w:themeTint="F2"/>
          <w:sz w:val="24"/>
          <w14:textFill>
            <w14:solidFill>
              <w14:schemeClr w14:val="tx1">
                <w14:lumMod w14:val="95000"/>
                <w14:lumOff w14:val="5000"/>
              </w14:schemeClr>
            </w14:solidFill>
          </w14:textFill>
        </w:rPr>
        <w:t>四、评审标准</w:t>
      </w:r>
      <w:bookmarkEnd w:id="68"/>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s="Arial"/>
          <w:snapToGrid w:val="0"/>
          <w:kern w:val="0"/>
          <w:sz w:val="24"/>
          <w:szCs w:val="24"/>
        </w:rPr>
        <w:t>技术标及商务标初步评审及详细标准详见附件</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9" w:name="_Toc88680709"/>
      <w:r>
        <w:rPr>
          <w:rFonts w:hint="eastAsia" w:ascii="宋体" w:hAnsi="宋体"/>
          <w:bCs/>
          <w:color w:val="0D0D0D" w:themeColor="text1" w:themeTint="F2"/>
          <w:sz w:val="24"/>
          <w14:textFill>
            <w14:solidFill>
              <w14:schemeClr w14:val="tx1">
                <w14:lumMod w14:val="95000"/>
                <w14:lumOff w14:val="5000"/>
              </w14:schemeClr>
            </w14:solidFill>
          </w14:textFill>
        </w:rPr>
        <w:t>五、中选价确定原则</w:t>
      </w:r>
      <w:bookmarkEnd w:id="69"/>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 xml:space="preserve"> 中选人针对相应包的总报价即为该包的中选价。</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0" w:name="_Toc88680710"/>
      <w:r>
        <w:rPr>
          <w:rFonts w:hint="eastAsia" w:ascii="宋体" w:hAnsi="宋体"/>
          <w:bCs/>
          <w:color w:val="0D0D0D" w:themeColor="text1" w:themeTint="F2"/>
          <w:sz w:val="24"/>
          <w14:textFill>
            <w14:solidFill>
              <w14:schemeClr w14:val="tx1">
                <w14:lumMod w14:val="95000"/>
                <w14:lumOff w14:val="5000"/>
              </w14:schemeClr>
            </w14:solidFill>
          </w14:textFill>
        </w:rPr>
        <w:t>六、定标</w:t>
      </w:r>
      <w:bookmarkEnd w:id="70"/>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比选人在评标工作结束后，将根据评标委员会提交的评标报告，对推荐的中选候选人进行参选文件审核，确定各包的中选人。</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1" w:name="_Toc88680711"/>
      <w:r>
        <w:rPr>
          <w:rFonts w:hint="eastAsia" w:ascii="宋体" w:hAnsi="宋体"/>
          <w:bCs/>
          <w:color w:val="0D0D0D" w:themeColor="text1" w:themeTint="F2"/>
          <w:sz w:val="24"/>
          <w14:textFill>
            <w14:solidFill>
              <w14:schemeClr w14:val="tx1">
                <w14:lumMod w14:val="95000"/>
                <w14:lumOff w14:val="5000"/>
              </w14:schemeClr>
            </w14:solidFill>
          </w14:textFill>
        </w:rPr>
        <w:t>七</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评标守则</w:t>
      </w:r>
      <w:bookmarkEnd w:id="71"/>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bookmarkStart w:id="72" w:name="_Toc17781"/>
      <w:bookmarkStart w:id="73" w:name="_Toc16508"/>
      <w:bookmarkStart w:id="74" w:name="_Toc5323"/>
      <w:bookmarkStart w:id="75" w:name="_Toc399494430"/>
    </w:p>
    <w:p>
      <w:pPr>
        <w:spacing w:line="360" w:lineRule="auto"/>
        <w:ind w:firstLine="600" w:firstLineChars="249"/>
        <w:rPr>
          <w:rFonts w:ascii="宋体" w:hAnsi="宋体"/>
          <w:b/>
          <w:bCs/>
          <w:color w:val="0D0D0D" w:themeColor="text1" w:themeTint="F2"/>
          <w:sz w:val="28"/>
          <w:szCs w:val="21"/>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w:t>
      </w:r>
      <w:bookmarkEnd w:id="3"/>
      <w:bookmarkEnd w:id="4"/>
      <w:bookmarkEnd w:id="5"/>
      <w:r>
        <w:rPr>
          <w:rFonts w:hint="eastAsia" w:ascii="宋体" w:hAnsi="宋体"/>
          <w:b/>
          <w:bCs/>
          <w:color w:val="0D0D0D" w:themeColor="text1" w:themeTint="F2"/>
          <w:sz w:val="24"/>
          <w14:textFill>
            <w14:solidFill>
              <w14:schemeClr w14:val="tx1">
                <w14:lumMod w14:val="95000"/>
                <w14:lumOff w14:val="5000"/>
              </w14:schemeClr>
            </w14:solidFill>
          </w14:textFill>
        </w:rPr>
        <w:t>市建设行政主管部门的相关规定，遵守保密制度；如有违犯，将按有关规定给予行政处分；情节严重、构成犯罪的，交由司</w:t>
      </w:r>
      <w:bookmarkEnd w:id="59"/>
      <w:r>
        <w:rPr>
          <w:rFonts w:hint="eastAsia" w:ascii="宋体" w:hAnsi="宋体"/>
          <w:b/>
          <w:bCs/>
          <w:color w:val="0D0D0D" w:themeColor="text1" w:themeTint="F2"/>
          <w:sz w:val="24"/>
          <w14:textFill>
            <w14:solidFill>
              <w14:schemeClr w14:val="tx1">
                <w14:lumMod w14:val="95000"/>
                <w14:lumOff w14:val="5000"/>
              </w14:schemeClr>
            </w14:solidFill>
          </w14:textFill>
        </w:rPr>
        <w:t>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Start w:id="76" w:name="_Toc399494431"/>
      <w:r>
        <w:rPr>
          <w:rFonts w:hint="eastAsia" w:ascii="宋体" w:hAnsi="宋体"/>
          <w:b/>
          <w:color w:val="0D0D0D" w:themeColor="text1" w:themeTint="F2"/>
          <w:sz w:val="28"/>
          <w:szCs w:val="21"/>
          <w14:textFill>
            <w14:solidFill>
              <w14:schemeClr w14:val="tx1">
                <w14:lumMod w14:val="95000"/>
                <w14:lumOff w14:val="5000"/>
              </w14:schemeClr>
            </w14:solidFill>
          </w14:textFill>
        </w:rPr>
        <w:t>附表1：</w:t>
      </w:r>
      <w:bookmarkEnd w:id="72"/>
      <w:bookmarkEnd w:id="73"/>
      <w:bookmarkEnd w:id="74"/>
      <w:bookmarkEnd w:id="75"/>
      <w:bookmarkEnd w:id="76"/>
      <w:r>
        <w:rPr>
          <w:rFonts w:hint="eastAsia" w:ascii="宋体" w:hAnsi="宋体"/>
          <w:b/>
          <w:bCs/>
          <w:color w:val="0D0D0D" w:themeColor="text1" w:themeTint="F2"/>
          <w:sz w:val="28"/>
          <w:szCs w:val="21"/>
          <w14:textFill>
            <w14:solidFill>
              <w14:schemeClr w14:val="tx1">
                <w14:lumMod w14:val="95000"/>
                <w14:lumOff w14:val="5000"/>
              </w14:schemeClr>
            </w14:solidFill>
          </w14:textFill>
        </w:rPr>
        <w:t>参选人签到表</w:t>
      </w:r>
    </w:p>
    <w:p>
      <w:pPr>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480" w:lineRule="atLeast"/>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日期：       年      月     日</w:t>
      </w:r>
    </w:p>
    <w:tbl>
      <w:tblPr>
        <w:tblStyle w:val="47"/>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sectPr>
          <w:headerReference r:id="rId3" w:type="default"/>
          <w:footerReference r:id="rId4" w:type="default"/>
          <w:pgSz w:w="11907" w:h="16840"/>
          <w:pgMar w:top="1440" w:right="1134" w:bottom="1440" w:left="1440" w:header="720" w:footer="890" w:gutter="0"/>
          <w:cols w:space="720" w:num="1"/>
          <w:docGrid w:linePitch="312" w:charSpace="0"/>
        </w:sectPr>
      </w:pP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6"/>
          <w:szCs w:val="36"/>
          <w14:textFill>
            <w14:solidFill>
              <w14:schemeClr w14:val="tx1">
                <w14:lumMod w14:val="95000"/>
                <w14:lumOff w14:val="5000"/>
              </w14:schemeClr>
            </w14:solidFill>
          </w14:textFill>
        </w:rPr>
        <w:t>：</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比选项目名称：坪山区坑梓街道、宝安区松岗街道、光明区新湖街道三个项目物业定位研究服务</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7"/>
        <w:tblW w:w="1399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379"/>
        <w:gridCol w:w="2212"/>
        <w:gridCol w:w="2351"/>
        <w:gridCol w:w="2212"/>
        <w:gridCol w:w="2074"/>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30"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378"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0777" w:type="dxa"/>
            <w:gridSpan w:val="5"/>
            <w:shd w:val="clear" w:color="auto" w:fill="auto"/>
            <w:vAlign w:val="center"/>
          </w:tcPr>
          <w:p>
            <w:pPr>
              <w:widowControl/>
              <w:jc w:val="center"/>
              <w:rPr>
                <w:color w:val="0D0D0D" w:themeColor="text1" w:themeTint="F2"/>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30"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78"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3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1</w:t>
            </w:r>
          </w:p>
        </w:tc>
        <w:tc>
          <w:tcPr>
            <w:tcW w:w="2378"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参选文件在截止时间前送达指定地点</w:t>
            </w:r>
          </w:p>
        </w:tc>
        <w:tc>
          <w:tcPr>
            <w:tcW w:w="2212"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3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2</w:t>
            </w:r>
          </w:p>
        </w:tc>
        <w:tc>
          <w:tcPr>
            <w:tcW w:w="2378" w:type="dxa"/>
            <w:vAlign w:val="center"/>
          </w:tcPr>
          <w:p>
            <w:pPr>
              <w:widowControl/>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参选文件按规定密封</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830" w:type="dxa"/>
            <w:vMerge w:val="restart"/>
            <w:vAlign w:val="center"/>
          </w:tcPr>
          <w:p>
            <w:pPr>
              <w:widowControl/>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color w:val="0D0D0D" w:themeColor="text1" w:themeTint="F2"/>
                <w:kern w:val="0"/>
                <w:sz w:val="24"/>
                <w:szCs w:val="24"/>
                <w14:textFill>
                  <w14:solidFill>
                    <w14:schemeClr w14:val="tx1">
                      <w14:lumMod w14:val="95000"/>
                      <w14:lumOff w14:val="5000"/>
                    </w14:schemeClr>
                  </w14:solidFill>
                </w14:textFill>
              </w:rPr>
              <w:t>3</w:t>
            </w:r>
          </w:p>
        </w:tc>
        <w:tc>
          <w:tcPr>
            <w:tcW w:w="2378" w:type="dxa"/>
            <w:vAlign w:val="center"/>
          </w:tcPr>
          <w:p>
            <w:pPr>
              <w:widowControl/>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sz w:val="24"/>
                <w:szCs w:val="24"/>
              </w:rPr>
              <w:t>参选报价：</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A包</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2378" w:type="dxa"/>
            <w:vAlign w:val="center"/>
          </w:tcPr>
          <w:p>
            <w:pPr>
              <w:widowControl/>
              <w:jc w:val="center"/>
              <w:rPr>
                <w:rFonts w:ascii="宋体" w:hAnsi="宋体"/>
                <w:bCs/>
                <w:sz w:val="24"/>
                <w:szCs w:val="24"/>
              </w:rPr>
            </w:pPr>
            <w:r>
              <w:rPr>
                <w:rFonts w:hint="eastAsia" w:ascii="宋体" w:hAnsi="宋体"/>
                <w:bCs/>
                <w:sz w:val="24"/>
                <w:szCs w:val="24"/>
              </w:rPr>
              <w:t>参选报价：</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包</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2378" w:type="dxa"/>
            <w:vAlign w:val="center"/>
          </w:tcPr>
          <w:p>
            <w:pPr>
              <w:widowControl/>
              <w:jc w:val="center"/>
              <w:rPr>
                <w:rFonts w:ascii="宋体" w:hAnsi="宋体"/>
                <w:b/>
                <w:sz w:val="24"/>
                <w:szCs w:val="24"/>
              </w:rPr>
            </w:pPr>
            <w:r>
              <w:rPr>
                <w:rFonts w:hint="eastAsia" w:ascii="宋体" w:hAnsi="宋体"/>
                <w:bCs/>
                <w:sz w:val="24"/>
                <w:szCs w:val="24"/>
              </w:rPr>
              <w:t>参选报价：</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C</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包</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09"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1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3"/>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附表3</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w:t>
      </w:r>
      <w:r>
        <w:rPr>
          <w:rFonts w:hint="eastAsia" w:ascii="宋体" w:hAnsi="宋体" w:cs="宋体"/>
          <w:b/>
          <w:kern w:val="0"/>
          <w:sz w:val="28"/>
          <w:szCs w:val="28"/>
        </w:rPr>
        <w:t xml:space="preserve"> 技术标初步评审表</w:t>
      </w:r>
    </w:p>
    <w:p>
      <w:pPr>
        <w:spacing w:line="360" w:lineRule="auto"/>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技术标初步评审表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比选项目名称：坪山区坑梓街道、宝安区松岗街道、光明区新湖街道三个项目物业定位研究服务</w:t>
      </w:r>
    </w:p>
    <w:tbl>
      <w:tblPr>
        <w:tblStyle w:val="47"/>
        <w:tblW w:w="14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5"/>
        <w:gridCol w:w="7268"/>
        <w:gridCol w:w="974"/>
        <w:gridCol w:w="1493"/>
        <w:gridCol w:w="1343"/>
        <w:gridCol w:w="1195"/>
        <w:gridCol w:w="1196"/>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865" w:type="dxa"/>
            <w:vMerge w:val="restart"/>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序号</w:t>
            </w:r>
          </w:p>
        </w:tc>
        <w:tc>
          <w:tcPr>
            <w:tcW w:w="7268" w:type="dxa"/>
            <w:vMerge w:val="restart"/>
            <w:tcBorders>
              <w:tl2br w:val="single" w:color="auto" w:sz="4" w:space="0"/>
            </w:tcBorders>
            <w:vAlign w:val="center"/>
          </w:tcPr>
          <w:p>
            <w:pPr>
              <w:spacing w:line="480" w:lineRule="atLeast"/>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Cs w:val="24"/>
                <w14:textFill>
                  <w14:solidFill>
                    <w14:schemeClr w14:val="tx1">
                      <w14:lumMod w14:val="95000"/>
                      <w14:lumOff w14:val="5000"/>
                    </w14:schemeClr>
                  </w14:solidFill>
                </w14:textFill>
              </w:rPr>
              <w:t xml:space="preserve">   评审项目 </w:t>
            </w:r>
            <w:r>
              <w:rPr>
                <w:rFonts w:ascii="宋体" w:hAnsi="宋体"/>
                <w:b/>
                <w:bCs/>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参选人</w:t>
            </w:r>
          </w:p>
        </w:tc>
        <w:tc>
          <w:tcPr>
            <w:tcW w:w="6216" w:type="dxa"/>
            <w:gridSpan w:val="6"/>
            <w:shd w:val="clear" w:color="auto" w:fill="auto"/>
          </w:tcPr>
          <w:p>
            <w:pPr>
              <w:widowControl/>
              <w:spacing w:line="480" w:lineRule="atLeast"/>
              <w:jc w:val="left"/>
              <w:rPr>
                <w:b/>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b/>
                <w:color w:val="0D0D0D" w:themeColor="text1" w:themeTint="F2"/>
                <w14:textFill>
                  <w14:solidFill>
                    <w14:schemeClr w14:val="tx1">
                      <w14:lumMod w14:val="95000"/>
                      <w14:lumOff w14:val="5000"/>
                    </w14:schemeClr>
                  </w14:solidFill>
                </w14:textFill>
              </w:rPr>
              <w:t xml:space="preserve">   参选</w:t>
            </w:r>
            <w:r>
              <w:rPr>
                <w:b/>
                <w:color w:val="0D0D0D" w:themeColor="text1" w:themeTint="F2"/>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865"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7268"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974" w:type="dxa"/>
            <w:vAlign w:val="center"/>
          </w:tcPr>
          <w:p>
            <w:pPr>
              <w:widowControl/>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9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34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5"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6" w:type="dxa"/>
            <w:vAlign w:val="center"/>
          </w:tcPr>
          <w:p>
            <w:pPr>
              <w:widowControl/>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1</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2</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参选文件经法定代表人或其委托代理人签字，或由委托代理人签字并随参选文件一起提供“法定代表人授权书”原件；</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3</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参选人成立时间：2018年12月31日之前成立；</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90"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4</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参选人经营范围含房地产咨询</w:t>
            </w:r>
            <w:bookmarkStart w:id="77" w:name="_Hlk91262477"/>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或</w:t>
            </w:r>
            <w:bookmarkEnd w:id="77"/>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策划或代理等；</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1"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5</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参选人公司业绩：2018年1月1日至今，在深圳承担规模在10万㎡以上含住宅、商业等业态的综合体前期策划研究项目不少于3个（含3个）。</w:t>
            </w:r>
          </w:p>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备注：1.以上业绩证明材料需提供相关合同关键页复印件，日期以合同签约日期为准，面积以合同签约面积为准，若合同上无面积，需另外提供面积证明材料（加盖公章）；2.综合体项目指含住宅、写字楼、公寓、商业、酒店、产业等业态中至少3种及以上业态的项目。</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8133" w:type="dxa"/>
            <w:gridSpan w:val="2"/>
            <w:vAlign w:val="center"/>
          </w:tcPr>
          <w:p>
            <w:pPr>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评审结论：</w:t>
            </w:r>
          </w:p>
        </w:tc>
        <w:tc>
          <w:tcPr>
            <w:tcW w:w="974"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493"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343"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5"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6"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480" w:lineRule="atLeast"/>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 xml:space="preserve">监督（签名）： </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     年    月    日</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p>
    <w:p>
      <w:pPr>
        <w:spacing w:line="360" w:lineRule="auto"/>
        <w:jc w:val="left"/>
        <w:rPr>
          <w:rFonts w:ascii="宋体" w:hAnsi="宋体"/>
          <w:b/>
          <w:snapToGrid w:val="0"/>
          <w:sz w:val="28"/>
          <w:szCs w:val="28"/>
        </w:rPr>
      </w:pPr>
    </w:p>
    <w:p>
      <w:pPr>
        <w:spacing w:line="360" w:lineRule="auto"/>
        <w:jc w:val="left"/>
        <w:rPr>
          <w:rFonts w:ascii="宋体" w:hAnsi="宋体"/>
          <w:b/>
          <w:bCs/>
          <w:snapToGrid w:val="0"/>
          <w:sz w:val="28"/>
          <w:szCs w:val="28"/>
        </w:rPr>
      </w:pPr>
      <w:r>
        <w:rPr>
          <w:rFonts w:hint="eastAsia" w:ascii="宋体" w:hAnsi="宋体"/>
          <w:b/>
          <w:snapToGrid w:val="0"/>
          <w:sz w:val="28"/>
          <w:szCs w:val="28"/>
        </w:rPr>
        <w:t>附表4：技术标详细评审表</w:t>
      </w:r>
    </w:p>
    <w:p>
      <w:pPr>
        <w:spacing w:line="360" w:lineRule="auto"/>
        <w:jc w:val="center"/>
        <w:rPr>
          <w:rFonts w:ascii="宋体" w:hAnsi="宋体"/>
          <w:b/>
          <w:bCs/>
          <w:snapToGrid w:val="0"/>
          <w:sz w:val="28"/>
          <w:szCs w:val="28"/>
        </w:rPr>
      </w:pPr>
      <w:r>
        <w:rPr>
          <w:rFonts w:hint="eastAsia" w:ascii="宋体" w:hAnsi="宋体"/>
          <w:b/>
          <w:bCs/>
          <w:snapToGrid w:val="0"/>
          <w:sz w:val="28"/>
          <w:szCs w:val="28"/>
        </w:rPr>
        <w:t>技术标详细评审表（50分）</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比选项目名称：坪山区坑梓街道、宝安区松岗街道、光明区新湖街道三个项目物业定位研究服务</w:t>
      </w:r>
    </w:p>
    <w:tbl>
      <w:tblPr>
        <w:tblStyle w:val="47"/>
        <w:tblpPr w:leftFromText="180" w:rightFromText="180" w:vertAnchor="text" w:horzAnchor="page" w:tblpXSpec="center" w:tblpY="48"/>
        <w:tblOverlap w:val="never"/>
        <w:tblW w:w="147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5B9BD5"/>
        <w:tblLayout w:type="fixed"/>
        <w:tblCellMar>
          <w:top w:w="0" w:type="dxa"/>
          <w:left w:w="0" w:type="dxa"/>
          <w:bottom w:w="0" w:type="dxa"/>
          <w:right w:w="0" w:type="dxa"/>
        </w:tblCellMar>
      </w:tblPr>
      <w:tblGrid>
        <w:gridCol w:w="646"/>
        <w:gridCol w:w="852"/>
        <w:gridCol w:w="1350"/>
        <w:gridCol w:w="6086"/>
        <w:gridCol w:w="1000"/>
        <w:gridCol w:w="845"/>
        <w:gridCol w:w="906"/>
        <w:gridCol w:w="906"/>
        <w:gridCol w:w="103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5B9BD5"/>
          <w:tblCellMar>
            <w:top w:w="0" w:type="dxa"/>
            <w:left w:w="0" w:type="dxa"/>
            <w:bottom w:w="0" w:type="dxa"/>
            <w:right w:w="0" w:type="dxa"/>
          </w:tblCellMar>
        </w:tblPrEx>
        <w:trPr>
          <w:trHeight w:val="297" w:hRule="atLeast"/>
          <w:tblHeader/>
        </w:trPr>
        <w:tc>
          <w:tcPr>
            <w:tcW w:w="646" w:type="dxa"/>
            <w:vMerge w:val="restart"/>
            <w:shd w:val="clear" w:color="auto" w:fill="auto"/>
            <w:tcMar>
              <w:top w:w="80" w:type="dxa"/>
              <w:left w:w="80" w:type="dxa"/>
              <w:bottom w:w="80" w:type="dxa"/>
              <w:right w:w="80" w:type="dxa"/>
            </w:tcMar>
            <w:vAlign w:val="center"/>
          </w:tcPr>
          <w:p>
            <w:pPr>
              <w:spacing w:line="360" w:lineRule="auto"/>
              <w:jc w:val="center"/>
              <w:rPr>
                <w:rFonts w:ascii="宋体" w:hAnsi="宋体" w:cs="宋体"/>
                <w:sz w:val="24"/>
                <w:szCs w:val="24"/>
              </w:rPr>
            </w:pPr>
            <w:r>
              <w:rPr>
                <w:rFonts w:hint="eastAsia" w:ascii="宋体" w:hAnsi="宋体" w:cs="宋体"/>
                <w:sz w:val="24"/>
                <w:szCs w:val="24"/>
              </w:rPr>
              <w:t>序号</w:t>
            </w:r>
          </w:p>
        </w:tc>
        <w:tc>
          <w:tcPr>
            <w:tcW w:w="2202" w:type="dxa"/>
            <w:gridSpan w:val="2"/>
            <w:vMerge w:val="restart"/>
            <w:shd w:val="clear" w:color="auto" w:fill="auto"/>
            <w:vAlign w:val="center"/>
          </w:tcPr>
          <w:p>
            <w:pPr>
              <w:spacing w:line="360" w:lineRule="auto"/>
              <w:jc w:val="center"/>
              <w:rPr>
                <w:rFonts w:ascii="宋体" w:hAnsi="宋体" w:cs="宋体"/>
                <w:sz w:val="24"/>
                <w:szCs w:val="24"/>
              </w:rPr>
            </w:pPr>
            <w:r>
              <w:rPr>
                <w:rFonts w:hint="eastAsia" w:ascii="宋体" w:hAnsi="宋体" w:cs="宋体"/>
                <w:b/>
                <w:bCs/>
                <w:sz w:val="24"/>
                <w:szCs w:val="24"/>
                <w:lang w:val="zh-TW" w:eastAsia="zh-TW"/>
              </w:rPr>
              <w:t>比选项目</w:t>
            </w:r>
          </w:p>
        </w:tc>
        <w:tc>
          <w:tcPr>
            <w:tcW w:w="6086" w:type="dxa"/>
            <w:vMerge w:val="restart"/>
            <w:shd w:val="clear" w:color="auto" w:fill="auto"/>
            <w:tcMar>
              <w:top w:w="80" w:type="dxa"/>
              <w:left w:w="80" w:type="dxa"/>
              <w:bottom w:w="80" w:type="dxa"/>
              <w:right w:w="80" w:type="dxa"/>
            </w:tcMar>
            <w:vAlign w:val="center"/>
          </w:tcPr>
          <w:p>
            <w:pPr>
              <w:spacing w:line="360" w:lineRule="auto"/>
              <w:jc w:val="center"/>
              <w:rPr>
                <w:rFonts w:ascii="宋体" w:hAnsi="宋体" w:cs="宋体"/>
                <w:sz w:val="24"/>
                <w:szCs w:val="24"/>
              </w:rPr>
            </w:pPr>
            <w:r>
              <w:rPr>
                <w:rFonts w:hint="eastAsia" w:ascii="宋体" w:hAnsi="宋体" w:cs="宋体"/>
                <w:b/>
                <w:bCs/>
                <w:sz w:val="24"/>
                <w:szCs w:val="24"/>
                <w:lang w:val="zh-TW" w:eastAsia="zh-TW"/>
              </w:rPr>
              <w:t>评分标准</w:t>
            </w:r>
          </w:p>
        </w:tc>
        <w:tc>
          <w:tcPr>
            <w:tcW w:w="1000" w:type="dxa"/>
            <w:vMerge w:val="restart"/>
            <w:shd w:val="clear" w:color="auto" w:fill="auto"/>
            <w:vAlign w:val="center"/>
          </w:tcPr>
          <w:p>
            <w:pPr>
              <w:spacing w:line="360" w:lineRule="auto"/>
              <w:jc w:val="center"/>
              <w:rPr>
                <w:rFonts w:ascii="宋体" w:hAnsi="宋体" w:cs="宋体"/>
                <w:sz w:val="24"/>
                <w:szCs w:val="24"/>
              </w:rPr>
            </w:pPr>
            <w:r>
              <w:rPr>
                <w:rFonts w:hint="eastAsia" w:ascii="宋体" w:hAnsi="宋体" w:cs="宋体"/>
                <w:b/>
                <w:bCs/>
                <w:sz w:val="24"/>
                <w:szCs w:val="24"/>
                <w:lang w:val="zh-TW" w:eastAsia="zh-TW"/>
              </w:rPr>
              <w:t>满分值</w:t>
            </w:r>
          </w:p>
        </w:tc>
        <w:tc>
          <w:tcPr>
            <w:tcW w:w="4817" w:type="dxa"/>
            <w:gridSpan w:val="5"/>
            <w:shd w:val="clear" w:color="auto" w:fill="auto"/>
            <w:vAlign w:val="center"/>
          </w:tcPr>
          <w:p>
            <w:pPr>
              <w:spacing w:line="360" w:lineRule="auto"/>
              <w:jc w:val="center"/>
              <w:rPr>
                <w:rFonts w:ascii="宋体" w:hAnsi="宋体" w:cs="宋体"/>
                <w:b/>
                <w:bCs/>
                <w:sz w:val="24"/>
                <w:szCs w:val="24"/>
                <w:lang w:val="zh-TW" w:eastAsia="zh-TW"/>
              </w:rPr>
            </w:pPr>
            <w:r>
              <w:rPr>
                <w:rFonts w:hint="eastAsia" w:ascii="宋体" w:hAnsi="宋体" w:cs="宋体"/>
                <w:b/>
                <w:bCs/>
                <w:sz w:val="24"/>
                <w:szCs w:val="24"/>
                <w:lang w:val="zh-TW"/>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blHeader/>
        </w:trPr>
        <w:tc>
          <w:tcPr>
            <w:tcW w:w="646" w:type="dxa"/>
            <w:vMerge w:val="continue"/>
            <w:shd w:val="clear" w:color="auto" w:fill="5B9BD5"/>
            <w:vAlign w:val="center"/>
          </w:tcPr>
          <w:p>
            <w:pPr>
              <w:widowControl/>
              <w:jc w:val="center"/>
              <w:rPr>
                <w:rFonts w:ascii="宋体" w:hAnsi="宋体" w:cs="宋体"/>
                <w:sz w:val="24"/>
                <w:szCs w:val="24"/>
              </w:rPr>
            </w:pPr>
          </w:p>
        </w:tc>
        <w:tc>
          <w:tcPr>
            <w:tcW w:w="2202" w:type="dxa"/>
            <w:gridSpan w:val="2"/>
            <w:vMerge w:val="continue"/>
            <w:shd w:val="clear" w:color="auto" w:fill="auto"/>
            <w:vAlign w:val="center"/>
          </w:tcPr>
          <w:p>
            <w:pPr>
              <w:widowControl/>
              <w:jc w:val="center"/>
              <w:rPr>
                <w:rFonts w:ascii="宋体" w:hAnsi="宋体" w:cs="宋体"/>
                <w:sz w:val="24"/>
                <w:szCs w:val="24"/>
              </w:rPr>
            </w:pPr>
          </w:p>
        </w:tc>
        <w:tc>
          <w:tcPr>
            <w:tcW w:w="6086" w:type="dxa"/>
            <w:vMerge w:val="continue"/>
            <w:shd w:val="clear" w:color="auto" w:fill="auto"/>
            <w:vAlign w:val="center"/>
          </w:tcPr>
          <w:p>
            <w:pPr>
              <w:widowControl/>
              <w:jc w:val="center"/>
              <w:rPr>
                <w:rFonts w:ascii="宋体" w:hAnsi="宋体" w:cs="宋体"/>
                <w:sz w:val="24"/>
                <w:szCs w:val="24"/>
              </w:rPr>
            </w:pPr>
          </w:p>
        </w:tc>
        <w:tc>
          <w:tcPr>
            <w:tcW w:w="1000" w:type="dxa"/>
            <w:vMerge w:val="continue"/>
            <w:shd w:val="clear" w:color="auto" w:fill="5B9BD5"/>
            <w:vAlign w:val="center"/>
          </w:tcPr>
          <w:p>
            <w:pPr>
              <w:widowControl/>
              <w:jc w:val="center"/>
              <w:rPr>
                <w:rFonts w:ascii="宋体" w:hAnsi="宋体" w:cs="宋体"/>
                <w:sz w:val="24"/>
                <w:szCs w:val="24"/>
              </w:rPr>
            </w:pPr>
          </w:p>
        </w:tc>
        <w:tc>
          <w:tcPr>
            <w:tcW w:w="845" w:type="dxa"/>
            <w:shd w:val="clear" w:color="auto" w:fill="auto"/>
            <w:vAlign w:val="center"/>
          </w:tcPr>
          <w:p>
            <w:pPr>
              <w:spacing w:line="360" w:lineRule="auto"/>
              <w:jc w:val="center"/>
              <w:rPr>
                <w:rFonts w:ascii="宋体" w:hAnsi="宋体" w:cs="宋体"/>
                <w:b/>
                <w:bCs/>
                <w:sz w:val="24"/>
                <w:szCs w:val="24"/>
                <w:lang w:val="zh-TW" w:eastAsia="zh-TW"/>
              </w:rPr>
            </w:pPr>
          </w:p>
        </w:tc>
        <w:tc>
          <w:tcPr>
            <w:tcW w:w="906" w:type="dxa"/>
            <w:shd w:val="clear" w:color="auto" w:fill="auto"/>
            <w:vAlign w:val="center"/>
          </w:tcPr>
          <w:p>
            <w:pPr>
              <w:spacing w:line="360" w:lineRule="auto"/>
              <w:jc w:val="center"/>
              <w:rPr>
                <w:rFonts w:ascii="宋体" w:hAnsi="宋体" w:cs="宋体"/>
                <w:b/>
                <w:bCs/>
                <w:sz w:val="24"/>
                <w:szCs w:val="24"/>
                <w:lang w:val="zh-TW" w:eastAsia="zh-TW"/>
              </w:rPr>
            </w:pPr>
          </w:p>
        </w:tc>
        <w:tc>
          <w:tcPr>
            <w:tcW w:w="906" w:type="dxa"/>
            <w:shd w:val="clear" w:color="auto" w:fill="auto"/>
            <w:vAlign w:val="center"/>
          </w:tcPr>
          <w:p>
            <w:pPr>
              <w:spacing w:line="360" w:lineRule="auto"/>
              <w:jc w:val="center"/>
              <w:rPr>
                <w:rFonts w:ascii="宋体" w:hAnsi="宋体" w:cs="宋体"/>
                <w:b/>
                <w:bCs/>
                <w:sz w:val="24"/>
                <w:szCs w:val="24"/>
                <w:lang w:val="zh-TW" w:eastAsia="zh-TW"/>
              </w:rPr>
            </w:pPr>
          </w:p>
        </w:tc>
        <w:tc>
          <w:tcPr>
            <w:tcW w:w="1035" w:type="dxa"/>
            <w:shd w:val="clear" w:color="auto" w:fill="auto"/>
            <w:vAlign w:val="center"/>
          </w:tcPr>
          <w:p>
            <w:pPr>
              <w:spacing w:line="360" w:lineRule="auto"/>
              <w:jc w:val="center"/>
              <w:rPr>
                <w:rFonts w:ascii="宋体" w:hAnsi="宋体" w:cs="宋体"/>
                <w:b/>
                <w:bCs/>
                <w:sz w:val="24"/>
                <w:szCs w:val="24"/>
                <w:lang w:val="zh-TW" w:eastAsia="zh-TW"/>
              </w:rPr>
            </w:pPr>
          </w:p>
        </w:tc>
        <w:tc>
          <w:tcPr>
            <w:tcW w:w="1125" w:type="dxa"/>
            <w:shd w:val="clear" w:color="auto" w:fill="auto"/>
            <w:vAlign w:val="center"/>
          </w:tcPr>
          <w:p>
            <w:pPr>
              <w:spacing w:line="360" w:lineRule="auto"/>
              <w:jc w:val="center"/>
              <w:rPr>
                <w:rFonts w:ascii="宋体" w:hAnsi="宋体" w:cs="宋体"/>
                <w:b/>
                <w:bCs/>
                <w:sz w:val="24"/>
                <w:szCs w:val="24"/>
                <w:lang w:val="zh-TW"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6" w:hRule="atLeast"/>
        </w:trPr>
        <w:tc>
          <w:tcPr>
            <w:tcW w:w="646" w:type="dxa"/>
            <w:shd w:val="clear" w:color="auto" w:fill="auto"/>
            <w:tcMar>
              <w:top w:w="80" w:type="dxa"/>
              <w:left w:w="80" w:type="dxa"/>
              <w:bottom w:w="80" w:type="dxa"/>
              <w:right w:w="80" w:type="dxa"/>
            </w:tcMar>
            <w:vAlign w:val="center"/>
          </w:tcPr>
          <w:p>
            <w:pPr>
              <w:spacing w:line="360" w:lineRule="auto"/>
              <w:jc w:val="center"/>
              <w:rPr>
                <w:rFonts w:ascii="宋体" w:hAnsi="宋体" w:cs="宋体"/>
                <w:sz w:val="24"/>
                <w:szCs w:val="24"/>
              </w:rPr>
            </w:pPr>
            <w:r>
              <w:rPr>
                <w:rFonts w:hint="eastAsia" w:ascii="宋体" w:hAnsi="宋体" w:cs="宋体"/>
                <w:sz w:val="24"/>
                <w:szCs w:val="24"/>
              </w:rPr>
              <w:t>1</w:t>
            </w:r>
          </w:p>
        </w:tc>
        <w:tc>
          <w:tcPr>
            <w:tcW w:w="2202" w:type="dxa"/>
            <w:gridSpan w:val="2"/>
            <w:shd w:val="clear" w:color="auto" w:fill="auto"/>
            <w:vAlign w:val="center"/>
          </w:tcPr>
          <w:p>
            <w:pPr>
              <w:spacing w:line="360" w:lineRule="auto"/>
              <w:jc w:val="center"/>
              <w:rPr>
                <w:rFonts w:ascii="宋体" w:hAnsi="宋体" w:cs="宋体"/>
                <w:sz w:val="24"/>
                <w:szCs w:val="24"/>
                <w:lang w:val="zh-TW" w:eastAsia="zh-TW"/>
              </w:rPr>
            </w:pPr>
            <w:r>
              <w:rPr>
                <w:rFonts w:hint="eastAsia" w:ascii="宋体" w:hAnsi="宋体"/>
                <w:color w:val="000000"/>
                <w:sz w:val="24"/>
                <w:szCs w:val="24"/>
              </w:rPr>
              <w:t>公司业绩</w:t>
            </w:r>
          </w:p>
        </w:tc>
        <w:tc>
          <w:tcPr>
            <w:tcW w:w="6086" w:type="dxa"/>
            <w:shd w:val="clear" w:color="auto" w:fill="auto"/>
            <w:tcMar>
              <w:top w:w="80" w:type="dxa"/>
              <w:left w:w="80" w:type="dxa"/>
              <w:bottom w:w="80" w:type="dxa"/>
              <w:right w:w="80" w:type="dxa"/>
            </w:tcMar>
            <w:vAlign w:val="center"/>
          </w:tcPr>
          <w:p>
            <w:pPr>
              <w:rPr>
                <w:rFonts w:ascii="宋体" w:hAnsi="宋体" w:cs="仿宋_GB2312"/>
                <w:sz w:val="24"/>
                <w:szCs w:val="24"/>
              </w:rPr>
            </w:pPr>
            <w:r>
              <w:rPr>
                <w:rFonts w:hint="eastAsia" w:ascii="宋体" w:hAnsi="宋体"/>
                <w:color w:val="000000"/>
                <w:sz w:val="24"/>
                <w:szCs w:val="24"/>
              </w:rPr>
              <w:t>2018年1月1日至今，在深圳承担规模在10万㎡以上含住宅、商业等业态的综合体前期策划研究项目，每一个得5分，满分</w:t>
            </w:r>
            <w:r>
              <w:rPr>
                <w:rFonts w:ascii="宋体" w:hAnsi="宋体"/>
                <w:color w:val="000000"/>
                <w:sz w:val="24"/>
                <w:szCs w:val="24"/>
              </w:rPr>
              <w:t>4</w:t>
            </w:r>
            <w:r>
              <w:rPr>
                <w:rFonts w:hint="eastAsia" w:ascii="宋体" w:hAnsi="宋体"/>
                <w:color w:val="000000"/>
                <w:sz w:val="24"/>
                <w:szCs w:val="24"/>
              </w:rPr>
              <w:t>0分 (40分)</w:t>
            </w:r>
          </w:p>
        </w:tc>
        <w:tc>
          <w:tcPr>
            <w:tcW w:w="1000" w:type="dxa"/>
            <w:shd w:val="clear" w:color="auto" w:fill="auto"/>
            <w:vAlign w:val="center"/>
          </w:tcPr>
          <w:p>
            <w:pPr>
              <w:widowControl/>
              <w:spacing w:line="360" w:lineRule="auto"/>
              <w:jc w:val="center"/>
              <w:rPr>
                <w:rFonts w:ascii="宋体" w:hAnsi="宋体" w:cs="宋体"/>
                <w:sz w:val="24"/>
                <w:szCs w:val="24"/>
                <w:lang w:val="zh-TW" w:eastAsia="zh-TW"/>
              </w:rPr>
            </w:pPr>
            <w:r>
              <w:rPr>
                <w:rFonts w:ascii="宋体" w:hAnsi="宋体" w:cs="宋体"/>
                <w:sz w:val="24"/>
                <w:szCs w:val="24"/>
              </w:rPr>
              <w:t>40</w:t>
            </w:r>
            <w:r>
              <w:rPr>
                <w:rFonts w:hint="eastAsia" w:ascii="宋体" w:hAnsi="宋体" w:cs="宋体"/>
                <w:sz w:val="24"/>
                <w:szCs w:val="24"/>
                <w:lang w:val="zh-TW" w:eastAsia="zh-TW"/>
              </w:rPr>
              <w:t>分</w:t>
            </w:r>
          </w:p>
        </w:tc>
        <w:tc>
          <w:tcPr>
            <w:tcW w:w="845"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906"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906"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1035"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1125" w:type="dxa"/>
            <w:shd w:val="clear" w:color="auto" w:fill="auto"/>
            <w:vAlign w:val="center"/>
          </w:tcPr>
          <w:p>
            <w:pPr>
              <w:widowControl/>
              <w:spacing w:line="360" w:lineRule="auto"/>
              <w:ind w:firstLine="240" w:firstLineChars="10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trPr>
        <w:tc>
          <w:tcPr>
            <w:tcW w:w="646" w:type="dxa"/>
            <w:vMerge w:val="restart"/>
            <w:shd w:val="clear" w:color="auto" w:fill="auto"/>
            <w:tcMar>
              <w:top w:w="80" w:type="dxa"/>
              <w:left w:w="80" w:type="dxa"/>
              <w:bottom w:w="80" w:type="dxa"/>
              <w:right w:w="80" w:type="dxa"/>
            </w:tcMar>
            <w:vAlign w:val="center"/>
          </w:tcPr>
          <w:p>
            <w:pPr>
              <w:spacing w:line="360" w:lineRule="auto"/>
              <w:jc w:val="center"/>
              <w:rPr>
                <w:rFonts w:ascii="宋体" w:hAnsi="宋体" w:cs="宋体"/>
                <w:sz w:val="24"/>
                <w:szCs w:val="24"/>
              </w:rPr>
            </w:pPr>
            <w:r>
              <w:rPr>
                <w:rFonts w:hint="eastAsia" w:ascii="宋体" w:hAnsi="宋体" w:cs="宋体"/>
                <w:sz w:val="24"/>
                <w:szCs w:val="24"/>
              </w:rPr>
              <w:t>2</w:t>
            </w:r>
          </w:p>
        </w:tc>
        <w:tc>
          <w:tcPr>
            <w:tcW w:w="852" w:type="dxa"/>
            <w:vMerge w:val="restart"/>
            <w:shd w:val="clear" w:color="auto" w:fill="auto"/>
            <w:vAlign w:val="center"/>
          </w:tcPr>
          <w:p>
            <w:pPr>
              <w:spacing w:line="360" w:lineRule="auto"/>
              <w:jc w:val="center"/>
              <w:rPr>
                <w:rFonts w:ascii="宋体" w:hAnsi="宋体"/>
                <w:color w:val="000000"/>
                <w:sz w:val="24"/>
                <w:szCs w:val="24"/>
              </w:rPr>
            </w:pPr>
            <w:r>
              <w:rPr>
                <w:rFonts w:hint="eastAsia" w:ascii="宋体" w:hAnsi="宋体"/>
                <w:color w:val="000000"/>
                <w:sz w:val="24"/>
                <w:szCs w:val="24"/>
              </w:rPr>
              <w:t>拟任团队</w:t>
            </w:r>
          </w:p>
        </w:tc>
        <w:tc>
          <w:tcPr>
            <w:tcW w:w="1350" w:type="dxa"/>
            <w:shd w:val="clear" w:color="auto" w:fill="auto"/>
            <w:tcMar>
              <w:top w:w="80" w:type="dxa"/>
              <w:left w:w="80" w:type="dxa"/>
              <w:bottom w:w="80" w:type="dxa"/>
              <w:right w:w="80" w:type="dxa"/>
            </w:tcMar>
            <w:vAlign w:val="center"/>
          </w:tcPr>
          <w:p>
            <w:pPr>
              <w:widowControl/>
              <w:jc w:val="center"/>
              <w:rPr>
                <w:rFonts w:ascii="宋体" w:hAnsi="宋体"/>
                <w:color w:val="000000"/>
                <w:kern w:val="0"/>
                <w:sz w:val="24"/>
                <w:szCs w:val="24"/>
              </w:rPr>
            </w:pPr>
            <w:r>
              <w:rPr>
                <w:rFonts w:hint="eastAsia" w:ascii="宋体" w:hAnsi="宋体"/>
                <w:color w:val="000000"/>
                <w:sz w:val="24"/>
                <w:szCs w:val="24"/>
              </w:rPr>
              <w:t>拟任项目总监</w:t>
            </w:r>
          </w:p>
        </w:tc>
        <w:tc>
          <w:tcPr>
            <w:tcW w:w="6086" w:type="dxa"/>
            <w:shd w:val="clear" w:color="auto" w:fill="auto"/>
            <w:tcMar>
              <w:top w:w="80" w:type="dxa"/>
              <w:left w:w="80" w:type="dxa"/>
              <w:bottom w:w="80" w:type="dxa"/>
              <w:right w:w="80" w:type="dxa"/>
            </w:tcMar>
            <w:vAlign w:val="center"/>
          </w:tcPr>
          <w:p>
            <w:pPr>
              <w:rPr>
                <w:rFonts w:ascii="宋体" w:hAnsi="宋体"/>
                <w:color w:val="000000"/>
                <w:sz w:val="24"/>
                <w:szCs w:val="24"/>
              </w:rPr>
            </w:pPr>
            <w:r>
              <w:rPr>
                <w:rFonts w:hint="eastAsia" w:ascii="宋体" w:hAnsi="宋体"/>
                <w:color w:val="000000"/>
                <w:sz w:val="24"/>
                <w:szCs w:val="24"/>
              </w:rPr>
              <w:t>房地产策划、销售相关工作经验：年限≥10年得5分， 8年≤年限＜10年得3分，6年≤年限＜8年得1分，年限＜6年不得分，满分5分 (5分)</w:t>
            </w:r>
          </w:p>
        </w:tc>
        <w:tc>
          <w:tcPr>
            <w:tcW w:w="1000" w:type="dxa"/>
            <w:shd w:val="clear" w:color="auto" w:fill="auto"/>
            <w:vAlign w:val="center"/>
          </w:tcPr>
          <w:p>
            <w:pPr>
              <w:widowControl/>
              <w:spacing w:line="360" w:lineRule="auto"/>
              <w:jc w:val="center"/>
              <w:rPr>
                <w:rFonts w:ascii="宋体" w:hAnsi="宋体" w:cs="宋体"/>
                <w:sz w:val="24"/>
                <w:szCs w:val="24"/>
              </w:rPr>
            </w:pPr>
            <w:r>
              <w:rPr>
                <w:rFonts w:ascii="宋体" w:hAnsi="宋体" w:cs="宋体"/>
                <w:sz w:val="24"/>
                <w:szCs w:val="24"/>
              </w:rPr>
              <w:t>5</w:t>
            </w:r>
            <w:r>
              <w:rPr>
                <w:rFonts w:hint="eastAsia" w:ascii="宋体" w:hAnsi="宋体" w:cs="宋体"/>
                <w:sz w:val="24"/>
                <w:szCs w:val="24"/>
              </w:rPr>
              <w:t>分</w:t>
            </w:r>
          </w:p>
        </w:tc>
        <w:tc>
          <w:tcPr>
            <w:tcW w:w="845"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906"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906"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1035"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1125" w:type="dxa"/>
            <w:shd w:val="clear" w:color="auto" w:fill="auto"/>
            <w:vAlign w:val="center"/>
          </w:tcPr>
          <w:p>
            <w:pPr>
              <w:widowControl/>
              <w:spacing w:line="360" w:lineRule="auto"/>
              <w:ind w:firstLine="240" w:firstLineChars="10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5B9BD5"/>
          <w:tblCellMar>
            <w:top w:w="0" w:type="dxa"/>
            <w:left w:w="0" w:type="dxa"/>
            <w:bottom w:w="0" w:type="dxa"/>
            <w:right w:w="0" w:type="dxa"/>
          </w:tblCellMar>
        </w:tblPrEx>
        <w:trPr>
          <w:trHeight w:val="899" w:hRule="atLeast"/>
        </w:trPr>
        <w:tc>
          <w:tcPr>
            <w:tcW w:w="646" w:type="dxa"/>
            <w:vMerge w:val="continue"/>
            <w:shd w:val="clear" w:color="auto" w:fill="auto"/>
            <w:tcMar>
              <w:top w:w="80" w:type="dxa"/>
              <w:left w:w="80" w:type="dxa"/>
              <w:bottom w:w="80" w:type="dxa"/>
              <w:right w:w="80" w:type="dxa"/>
            </w:tcMar>
            <w:vAlign w:val="center"/>
          </w:tcPr>
          <w:p>
            <w:pPr>
              <w:spacing w:line="360" w:lineRule="auto"/>
              <w:jc w:val="center"/>
              <w:rPr>
                <w:rFonts w:ascii="宋体" w:hAnsi="宋体" w:cs="宋体"/>
                <w:sz w:val="24"/>
                <w:szCs w:val="24"/>
              </w:rPr>
            </w:pPr>
          </w:p>
        </w:tc>
        <w:tc>
          <w:tcPr>
            <w:tcW w:w="852" w:type="dxa"/>
            <w:vMerge w:val="continue"/>
            <w:shd w:val="clear" w:color="auto" w:fill="auto"/>
            <w:vAlign w:val="center"/>
          </w:tcPr>
          <w:p>
            <w:pPr>
              <w:spacing w:line="360" w:lineRule="auto"/>
              <w:jc w:val="center"/>
              <w:rPr>
                <w:rFonts w:ascii="宋体" w:hAnsi="宋体"/>
                <w:color w:val="000000"/>
                <w:sz w:val="24"/>
                <w:szCs w:val="24"/>
              </w:rPr>
            </w:pPr>
          </w:p>
        </w:tc>
        <w:tc>
          <w:tcPr>
            <w:tcW w:w="1350" w:type="dxa"/>
            <w:shd w:val="clear" w:color="auto" w:fill="auto"/>
            <w:tcMar>
              <w:top w:w="80" w:type="dxa"/>
              <w:left w:w="80" w:type="dxa"/>
              <w:bottom w:w="80" w:type="dxa"/>
              <w:right w:w="80" w:type="dxa"/>
            </w:tcMar>
            <w:vAlign w:val="center"/>
          </w:tcPr>
          <w:p>
            <w:pPr>
              <w:jc w:val="center"/>
              <w:rPr>
                <w:rFonts w:ascii="宋体" w:hAnsi="宋体"/>
                <w:color w:val="000000"/>
                <w:sz w:val="24"/>
                <w:szCs w:val="24"/>
              </w:rPr>
            </w:pPr>
            <w:r>
              <w:rPr>
                <w:rFonts w:hint="eastAsia" w:ascii="宋体" w:hAnsi="宋体"/>
                <w:color w:val="000000"/>
                <w:sz w:val="24"/>
                <w:szCs w:val="24"/>
              </w:rPr>
              <w:t>拟任项目策划经理</w:t>
            </w:r>
          </w:p>
        </w:tc>
        <w:tc>
          <w:tcPr>
            <w:tcW w:w="6086" w:type="dxa"/>
            <w:shd w:val="clear" w:color="auto" w:fill="auto"/>
            <w:tcMar>
              <w:top w:w="80" w:type="dxa"/>
              <w:left w:w="80" w:type="dxa"/>
              <w:bottom w:w="80" w:type="dxa"/>
              <w:right w:w="80" w:type="dxa"/>
            </w:tcMar>
            <w:vAlign w:val="center"/>
          </w:tcPr>
          <w:p>
            <w:pPr>
              <w:rPr>
                <w:rFonts w:ascii="宋体" w:hAnsi="宋体"/>
                <w:color w:val="000000"/>
                <w:sz w:val="24"/>
                <w:szCs w:val="24"/>
              </w:rPr>
            </w:pPr>
            <w:r>
              <w:rPr>
                <w:rFonts w:hint="eastAsia" w:ascii="宋体" w:hAnsi="宋体"/>
                <w:color w:val="000000"/>
                <w:sz w:val="24"/>
                <w:szCs w:val="24"/>
              </w:rPr>
              <w:t>房地产策划相关工作经验：年限≥8年得3分，5年≤年限＜8年得1分，年限＜5年不得分，满分3分 (3分)</w:t>
            </w:r>
          </w:p>
        </w:tc>
        <w:tc>
          <w:tcPr>
            <w:tcW w:w="1000" w:type="dxa"/>
            <w:shd w:val="clear" w:color="auto" w:fill="auto"/>
            <w:vAlign w:val="center"/>
          </w:tcPr>
          <w:p>
            <w:pPr>
              <w:widowControl/>
              <w:spacing w:line="360" w:lineRule="auto"/>
              <w:jc w:val="center"/>
              <w:rPr>
                <w:rFonts w:ascii="宋体" w:hAnsi="宋体" w:cs="宋体"/>
                <w:sz w:val="24"/>
                <w:szCs w:val="24"/>
              </w:rPr>
            </w:pPr>
            <w:r>
              <w:rPr>
                <w:rFonts w:hint="eastAsia" w:ascii="宋体" w:hAnsi="宋体" w:cs="宋体"/>
                <w:sz w:val="24"/>
                <w:szCs w:val="24"/>
              </w:rPr>
              <w:t>3分</w:t>
            </w:r>
          </w:p>
        </w:tc>
        <w:tc>
          <w:tcPr>
            <w:tcW w:w="845"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906"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906"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1035"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1125" w:type="dxa"/>
            <w:shd w:val="clear" w:color="auto" w:fill="auto"/>
            <w:vAlign w:val="center"/>
          </w:tcPr>
          <w:p>
            <w:pPr>
              <w:widowControl/>
              <w:spacing w:line="360" w:lineRule="auto"/>
              <w:ind w:firstLine="240" w:firstLineChars="10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5B9BD5"/>
          <w:tblCellMar>
            <w:top w:w="0" w:type="dxa"/>
            <w:left w:w="0" w:type="dxa"/>
            <w:bottom w:w="0" w:type="dxa"/>
            <w:right w:w="0" w:type="dxa"/>
          </w:tblCellMar>
        </w:tblPrEx>
        <w:trPr>
          <w:trHeight w:val="899" w:hRule="atLeast"/>
        </w:trPr>
        <w:tc>
          <w:tcPr>
            <w:tcW w:w="646" w:type="dxa"/>
            <w:vMerge w:val="continue"/>
            <w:shd w:val="clear" w:color="auto" w:fill="auto"/>
            <w:tcMar>
              <w:top w:w="80" w:type="dxa"/>
              <w:left w:w="80" w:type="dxa"/>
              <w:bottom w:w="80" w:type="dxa"/>
              <w:right w:w="80" w:type="dxa"/>
            </w:tcMar>
            <w:vAlign w:val="center"/>
          </w:tcPr>
          <w:p>
            <w:pPr>
              <w:spacing w:line="360" w:lineRule="auto"/>
              <w:jc w:val="center"/>
              <w:rPr>
                <w:rFonts w:ascii="宋体" w:hAnsi="宋体" w:cs="宋体"/>
                <w:sz w:val="24"/>
                <w:szCs w:val="24"/>
              </w:rPr>
            </w:pPr>
          </w:p>
        </w:tc>
        <w:tc>
          <w:tcPr>
            <w:tcW w:w="852" w:type="dxa"/>
            <w:vMerge w:val="continue"/>
            <w:shd w:val="clear" w:color="auto" w:fill="auto"/>
            <w:vAlign w:val="center"/>
          </w:tcPr>
          <w:p>
            <w:pPr>
              <w:widowControl/>
              <w:adjustRightInd w:val="0"/>
              <w:snapToGrid w:val="0"/>
              <w:spacing w:line="360" w:lineRule="auto"/>
              <w:jc w:val="center"/>
              <w:rPr>
                <w:rFonts w:ascii="宋体" w:hAnsi="宋体"/>
                <w:color w:val="000000"/>
                <w:sz w:val="24"/>
                <w:szCs w:val="24"/>
                <w:lang w:val="zh-TW" w:eastAsia="zh-TW"/>
              </w:rPr>
            </w:pPr>
          </w:p>
        </w:tc>
        <w:tc>
          <w:tcPr>
            <w:tcW w:w="1350" w:type="dxa"/>
            <w:shd w:val="clear" w:color="auto" w:fill="auto"/>
            <w:tcMar>
              <w:top w:w="80" w:type="dxa"/>
              <w:left w:w="80" w:type="dxa"/>
              <w:bottom w:w="80" w:type="dxa"/>
              <w:right w:w="80" w:type="dxa"/>
            </w:tcMar>
            <w:vAlign w:val="center"/>
          </w:tcPr>
          <w:p>
            <w:pPr>
              <w:jc w:val="center"/>
              <w:rPr>
                <w:rFonts w:ascii="宋体" w:hAnsi="宋体"/>
                <w:color w:val="000000"/>
                <w:sz w:val="24"/>
                <w:szCs w:val="24"/>
              </w:rPr>
            </w:pPr>
            <w:r>
              <w:rPr>
                <w:rFonts w:hint="eastAsia" w:ascii="宋体" w:hAnsi="宋体"/>
                <w:color w:val="000000"/>
                <w:sz w:val="24"/>
                <w:szCs w:val="24"/>
              </w:rPr>
              <w:t>拟任项目主策</w:t>
            </w:r>
          </w:p>
        </w:tc>
        <w:tc>
          <w:tcPr>
            <w:tcW w:w="6086" w:type="dxa"/>
            <w:shd w:val="clear" w:color="auto" w:fill="auto"/>
            <w:tcMar>
              <w:top w:w="80" w:type="dxa"/>
              <w:left w:w="80" w:type="dxa"/>
              <w:bottom w:w="80" w:type="dxa"/>
              <w:right w:w="80" w:type="dxa"/>
            </w:tcMar>
            <w:vAlign w:val="center"/>
          </w:tcPr>
          <w:p>
            <w:pPr>
              <w:rPr>
                <w:rFonts w:ascii="宋体" w:hAnsi="宋体"/>
                <w:color w:val="000000"/>
                <w:sz w:val="24"/>
                <w:szCs w:val="24"/>
              </w:rPr>
            </w:pPr>
            <w:r>
              <w:rPr>
                <w:rFonts w:hint="eastAsia" w:ascii="宋体" w:hAnsi="宋体"/>
                <w:color w:val="000000"/>
                <w:sz w:val="24"/>
                <w:szCs w:val="24"/>
              </w:rPr>
              <w:t>房地产策划相关工作经验：年限≥5年得2分， 4年≤年限＜5年得1分，年限＜4年不得分，满分2分 (2分)</w:t>
            </w:r>
          </w:p>
        </w:tc>
        <w:tc>
          <w:tcPr>
            <w:tcW w:w="1000" w:type="dxa"/>
            <w:shd w:val="clear" w:color="auto" w:fill="auto"/>
            <w:vAlign w:val="center"/>
          </w:tcPr>
          <w:p>
            <w:pPr>
              <w:widowControl/>
              <w:spacing w:line="360" w:lineRule="auto"/>
              <w:jc w:val="center"/>
              <w:rPr>
                <w:rFonts w:ascii="宋体" w:hAnsi="宋体" w:cs="宋体"/>
                <w:sz w:val="24"/>
                <w:szCs w:val="24"/>
              </w:rPr>
            </w:pPr>
            <w:r>
              <w:rPr>
                <w:rFonts w:ascii="宋体" w:hAnsi="宋体" w:cs="宋体"/>
                <w:sz w:val="24"/>
                <w:szCs w:val="24"/>
              </w:rPr>
              <w:t>2</w:t>
            </w:r>
            <w:r>
              <w:rPr>
                <w:rFonts w:hint="eastAsia" w:ascii="宋体" w:hAnsi="宋体" w:cs="宋体"/>
                <w:sz w:val="24"/>
                <w:szCs w:val="24"/>
              </w:rPr>
              <w:t>分</w:t>
            </w:r>
          </w:p>
        </w:tc>
        <w:tc>
          <w:tcPr>
            <w:tcW w:w="845"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906"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906"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1035" w:type="dxa"/>
            <w:shd w:val="clear" w:color="auto" w:fill="auto"/>
            <w:vAlign w:val="center"/>
          </w:tcPr>
          <w:p>
            <w:pPr>
              <w:widowControl/>
              <w:spacing w:line="360" w:lineRule="auto"/>
              <w:ind w:firstLine="240" w:firstLineChars="100"/>
              <w:jc w:val="center"/>
              <w:rPr>
                <w:rFonts w:ascii="宋体" w:hAnsi="宋体" w:cs="宋体"/>
                <w:sz w:val="24"/>
                <w:szCs w:val="24"/>
              </w:rPr>
            </w:pPr>
          </w:p>
        </w:tc>
        <w:tc>
          <w:tcPr>
            <w:tcW w:w="1125" w:type="dxa"/>
            <w:shd w:val="clear" w:color="auto" w:fill="auto"/>
            <w:vAlign w:val="center"/>
          </w:tcPr>
          <w:p>
            <w:pPr>
              <w:widowControl/>
              <w:spacing w:line="360" w:lineRule="auto"/>
              <w:ind w:firstLine="240" w:firstLineChars="100"/>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8934" w:type="dxa"/>
            <w:gridSpan w:val="4"/>
            <w:shd w:val="clear" w:color="auto" w:fill="auto"/>
            <w:vAlign w:val="center"/>
          </w:tcPr>
          <w:p>
            <w:pPr>
              <w:jc w:val="center"/>
              <w:rPr>
                <w:rFonts w:ascii="宋体" w:hAnsi="宋体" w:cs="宋体"/>
                <w:sz w:val="24"/>
                <w:szCs w:val="24"/>
              </w:rPr>
            </w:pPr>
            <w:r>
              <w:rPr>
                <w:rFonts w:hint="eastAsia" w:ascii="宋体" w:hAnsi="宋体" w:cs="宋体"/>
                <w:sz w:val="24"/>
                <w:szCs w:val="24"/>
              </w:rPr>
              <w:t>合计</w:t>
            </w:r>
          </w:p>
        </w:tc>
        <w:tc>
          <w:tcPr>
            <w:tcW w:w="1000" w:type="dxa"/>
            <w:shd w:val="clear" w:color="auto" w:fill="auto"/>
            <w:vAlign w:val="center"/>
          </w:tcPr>
          <w:p>
            <w:pPr>
              <w:widowControl/>
              <w:jc w:val="center"/>
              <w:rPr>
                <w:rFonts w:ascii="宋体" w:hAnsi="宋体" w:cs="宋体"/>
                <w:sz w:val="24"/>
                <w:szCs w:val="24"/>
              </w:rPr>
            </w:pPr>
            <w:r>
              <w:rPr>
                <w:rFonts w:hint="eastAsia" w:ascii="宋体" w:hAnsi="宋体" w:cs="宋体"/>
                <w:sz w:val="24"/>
                <w:szCs w:val="24"/>
              </w:rPr>
              <w:t>50分</w:t>
            </w:r>
          </w:p>
        </w:tc>
        <w:tc>
          <w:tcPr>
            <w:tcW w:w="845" w:type="dxa"/>
            <w:shd w:val="clear" w:color="auto" w:fill="auto"/>
            <w:vAlign w:val="center"/>
          </w:tcPr>
          <w:p>
            <w:pPr>
              <w:widowControl/>
              <w:jc w:val="center"/>
              <w:rPr>
                <w:rFonts w:ascii="宋体" w:hAnsi="宋体" w:cs="宋体"/>
                <w:sz w:val="24"/>
                <w:szCs w:val="24"/>
              </w:rPr>
            </w:pPr>
          </w:p>
        </w:tc>
        <w:tc>
          <w:tcPr>
            <w:tcW w:w="906" w:type="dxa"/>
            <w:shd w:val="clear" w:color="auto" w:fill="auto"/>
            <w:vAlign w:val="center"/>
          </w:tcPr>
          <w:p>
            <w:pPr>
              <w:widowControl/>
              <w:jc w:val="center"/>
              <w:rPr>
                <w:rFonts w:ascii="宋体" w:hAnsi="宋体" w:cs="宋体"/>
                <w:sz w:val="24"/>
                <w:szCs w:val="24"/>
              </w:rPr>
            </w:pPr>
          </w:p>
        </w:tc>
        <w:tc>
          <w:tcPr>
            <w:tcW w:w="906" w:type="dxa"/>
            <w:shd w:val="clear" w:color="auto" w:fill="auto"/>
            <w:vAlign w:val="center"/>
          </w:tcPr>
          <w:p>
            <w:pPr>
              <w:widowControl/>
              <w:jc w:val="center"/>
              <w:rPr>
                <w:rFonts w:ascii="宋体" w:hAnsi="宋体" w:cs="宋体"/>
                <w:sz w:val="24"/>
                <w:szCs w:val="24"/>
              </w:rPr>
            </w:pPr>
          </w:p>
        </w:tc>
        <w:tc>
          <w:tcPr>
            <w:tcW w:w="1035" w:type="dxa"/>
            <w:shd w:val="clear" w:color="auto" w:fill="auto"/>
            <w:vAlign w:val="center"/>
          </w:tcPr>
          <w:p>
            <w:pPr>
              <w:widowControl/>
              <w:jc w:val="center"/>
              <w:rPr>
                <w:rFonts w:ascii="宋体" w:hAnsi="宋体" w:cs="宋体"/>
                <w:sz w:val="24"/>
                <w:szCs w:val="24"/>
              </w:rPr>
            </w:pPr>
          </w:p>
        </w:tc>
        <w:tc>
          <w:tcPr>
            <w:tcW w:w="1125" w:type="dxa"/>
            <w:shd w:val="clear" w:color="auto" w:fill="auto"/>
            <w:vAlign w:val="center"/>
          </w:tcPr>
          <w:p>
            <w:pPr>
              <w:widowControl/>
              <w:jc w:val="center"/>
              <w:rPr>
                <w:rFonts w:ascii="宋体" w:hAnsi="宋体" w:cs="宋体"/>
                <w:sz w:val="24"/>
                <w:szCs w:val="24"/>
              </w:rPr>
            </w:pPr>
          </w:p>
        </w:tc>
      </w:tr>
    </w:tbl>
    <w:p>
      <w:pPr>
        <w:widowControl/>
        <w:spacing w:line="360" w:lineRule="auto"/>
        <w:rPr>
          <w:rFonts w:ascii="宋体" w:hAnsi="宋体"/>
        </w:rPr>
      </w:pPr>
    </w:p>
    <w:p>
      <w:pPr>
        <w:tabs>
          <w:tab w:val="left" w:pos="0"/>
        </w:tabs>
        <w:snapToGrid w:val="0"/>
        <w:spacing w:line="360" w:lineRule="auto"/>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22" w:firstLineChars="200"/>
        <w:jc w:val="right"/>
        <w:rPr>
          <w:rFonts w:ascii="宋体" w:hAnsi="宋体" w:cs="宋体"/>
          <w:szCs w:val="21"/>
        </w:rPr>
      </w:pPr>
      <w:r>
        <w:rPr>
          <w:rFonts w:hint="eastAsia" w:ascii="宋体" w:hAnsi="宋体" w:cs="宋体"/>
          <w:b/>
          <w:szCs w:val="21"/>
        </w:rPr>
        <w:t>日期：</w:t>
      </w:r>
      <w:r>
        <w:rPr>
          <w:rFonts w:hint="eastAsia" w:ascii="宋体" w:hAnsi="宋体" w:cs="宋体"/>
          <w:szCs w:val="21"/>
        </w:rPr>
        <w:t xml:space="preserve">     年    月    日</w:t>
      </w:r>
    </w:p>
    <w:p>
      <w:pPr>
        <w:spacing w:line="360" w:lineRule="auto"/>
        <w:rPr>
          <w:rFonts w:ascii="宋体" w:hAnsi="宋体" w:cs="宋体"/>
          <w:b/>
          <w:sz w:val="28"/>
          <w:szCs w:val="28"/>
        </w:rPr>
      </w:pPr>
    </w:p>
    <w:p>
      <w:pPr>
        <w:spacing w:line="360" w:lineRule="auto"/>
        <w:rPr>
          <w:rFonts w:ascii="宋体" w:hAnsi="宋体" w:cs="宋体"/>
          <w:b/>
          <w:bCs/>
          <w:kern w:val="0"/>
          <w:sz w:val="28"/>
          <w:szCs w:val="28"/>
        </w:rPr>
      </w:pPr>
      <w:r>
        <w:rPr>
          <w:rFonts w:hint="eastAsia" w:ascii="宋体" w:hAnsi="宋体" w:cs="宋体"/>
          <w:b/>
          <w:sz w:val="28"/>
          <w:szCs w:val="28"/>
        </w:rPr>
        <w:t>附表5：技术标详细评审结果汇总表</w:t>
      </w: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技术标详细评审结果汇总表</w:t>
      </w:r>
    </w:p>
    <w:p>
      <w:pPr>
        <w:spacing w:line="360" w:lineRule="auto"/>
        <w:jc w:val="center"/>
        <w:rPr>
          <w:rFonts w:ascii="宋体" w:hAnsi="宋体" w:cs="宋体"/>
          <w:bCs/>
          <w:snapToGrid w:val="0"/>
          <w:sz w:val="24"/>
          <w:szCs w:val="24"/>
        </w:rPr>
      </w:pP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比选项目名称：坪山区坑梓街道、宝安区松岗街道、光明区新湖街道三个项目物业定位研究服务</w:t>
      </w:r>
    </w:p>
    <w:tbl>
      <w:tblPr>
        <w:tblStyle w:val="47"/>
        <w:tblW w:w="13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5"/>
        <w:gridCol w:w="3851"/>
        <w:gridCol w:w="964"/>
        <w:gridCol w:w="965"/>
        <w:gridCol w:w="964"/>
        <w:gridCol w:w="965"/>
        <w:gridCol w:w="965"/>
        <w:gridCol w:w="964"/>
        <w:gridCol w:w="965"/>
        <w:gridCol w:w="1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序号</w:t>
            </w:r>
          </w:p>
        </w:tc>
        <w:tc>
          <w:tcPr>
            <w:tcW w:w="3851"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 xml:space="preserve">                     评委</w:t>
            </w:r>
          </w:p>
          <w:p>
            <w:pPr>
              <w:spacing w:line="360" w:lineRule="auto"/>
              <w:jc w:val="left"/>
              <w:rPr>
                <w:rFonts w:ascii="宋体" w:hAnsi="宋体" w:cs="宋体"/>
                <w:b/>
                <w:bCs/>
                <w:kern w:val="0"/>
                <w:sz w:val="24"/>
                <w:szCs w:val="24"/>
              </w:rPr>
            </w:pPr>
            <w:r>
              <w:rPr>
                <w:rFonts w:hint="eastAsia" w:ascii="宋体" w:hAnsi="宋体" w:cs="宋体"/>
                <w:b/>
                <w:bCs/>
                <w:kern w:val="0"/>
                <w:sz w:val="24"/>
                <w:szCs w:val="24"/>
              </w:rPr>
              <w:t xml:space="preserve">   参选人</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评委1</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评委2</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评委3</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评委4</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评委5</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评委6</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评委7</w:t>
            </w: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技术标得分</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2</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3</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4</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5</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6</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bl>
    <w:p>
      <w:pPr>
        <w:spacing w:line="360" w:lineRule="auto"/>
        <w:jc w:val="left"/>
        <w:rPr>
          <w:rFonts w:ascii="宋体" w:hAnsi="宋体" w:cs="宋体"/>
          <w:sz w:val="24"/>
          <w:szCs w:val="24"/>
        </w:rPr>
      </w:pPr>
      <w:r>
        <w:rPr>
          <w:rFonts w:hint="eastAsia" w:ascii="宋体" w:hAnsi="宋体" w:cs="宋体"/>
          <w:sz w:val="24"/>
          <w:szCs w:val="24"/>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 w:val="24"/>
          <w:szCs w:val="24"/>
        </w:rPr>
      </w:pPr>
      <w:r>
        <w:rPr>
          <w:rFonts w:hint="eastAsia" w:ascii="宋体" w:hAnsi="宋体" w:cs="宋体"/>
          <w:sz w:val="24"/>
          <w:szCs w:val="24"/>
        </w:rPr>
        <w:t xml:space="preserve">       2、技术标得分的算术平均值保留小数点后两位数字，且四舍五入。</w:t>
      </w:r>
    </w:p>
    <w:p>
      <w:pPr>
        <w:pStyle w:val="20"/>
        <w:snapToGrid w:val="0"/>
        <w:rPr>
          <w:rFonts w:ascii="宋体" w:hAnsi="宋体" w:cs="宋体"/>
          <w:sz w:val="24"/>
          <w:szCs w:val="24"/>
        </w:rPr>
      </w:pPr>
    </w:p>
    <w:p>
      <w:pPr>
        <w:tabs>
          <w:tab w:val="left" w:pos="0"/>
        </w:tabs>
        <w:snapToGrid w:val="0"/>
        <w:spacing w:line="360" w:lineRule="auto"/>
        <w:rPr>
          <w:rFonts w:ascii="宋体" w:hAnsi="宋体" w:cs="宋体"/>
          <w:b/>
          <w:sz w:val="24"/>
          <w:szCs w:val="24"/>
        </w:rPr>
      </w:pPr>
      <w:r>
        <w:rPr>
          <w:rFonts w:hint="eastAsia" w:ascii="宋体" w:hAnsi="宋体" w:cs="宋体"/>
          <w:b/>
          <w:sz w:val="24"/>
          <w:szCs w:val="24"/>
        </w:rPr>
        <w:t>评委(签名)：</w:t>
      </w:r>
    </w:p>
    <w:p>
      <w:pPr>
        <w:widowControl/>
        <w:spacing w:line="360" w:lineRule="auto"/>
        <w:rPr>
          <w:rFonts w:ascii="宋体" w:hAnsi="宋体" w:cs="宋体"/>
          <w:b/>
          <w:sz w:val="24"/>
          <w:szCs w:val="24"/>
        </w:rPr>
      </w:pPr>
      <w:r>
        <w:rPr>
          <w:rFonts w:hint="eastAsia" w:ascii="宋体" w:hAnsi="宋体" w:cs="宋体"/>
          <w:b/>
          <w:sz w:val="24"/>
          <w:szCs w:val="24"/>
        </w:rPr>
        <w:t xml:space="preserve">监督（签名）：  </w:t>
      </w:r>
      <w:r>
        <w:rPr>
          <w:rFonts w:hint="eastAsia" w:ascii="宋体" w:hAnsi="宋体" w:cs="宋体"/>
          <w:sz w:val="24"/>
          <w:szCs w:val="24"/>
        </w:rPr>
        <w:t xml:space="preserve">                                                                             </w:t>
      </w:r>
      <w:r>
        <w:rPr>
          <w:rFonts w:hint="eastAsia" w:ascii="宋体" w:hAnsi="宋体" w:cs="宋体"/>
          <w:b/>
          <w:sz w:val="24"/>
          <w:szCs w:val="24"/>
        </w:rPr>
        <w:t>日期：</w:t>
      </w:r>
      <w:r>
        <w:rPr>
          <w:rFonts w:hint="eastAsia" w:ascii="宋体" w:hAnsi="宋体" w:cs="宋体"/>
          <w:sz w:val="24"/>
          <w:szCs w:val="24"/>
        </w:rPr>
        <w:t xml:space="preserve">     年    月    日</w:t>
      </w:r>
    </w:p>
    <w:p>
      <w:pPr>
        <w:tabs>
          <w:tab w:val="left" w:pos="0"/>
        </w:tabs>
        <w:snapToGrid w:val="0"/>
        <w:spacing w:line="360" w:lineRule="auto"/>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p>
    <w:p>
      <w:pPr>
        <w:tabs>
          <w:tab w:val="left" w:pos="0"/>
        </w:tabs>
        <w:snapToGrid w:val="0"/>
        <w:spacing w:line="360" w:lineRule="auto"/>
        <w:rPr>
          <w:rFonts w:ascii="宋体" w:hAnsi="宋体"/>
          <w:b/>
          <w:color w:val="0D0D0D" w:themeColor="text1" w:themeTint="F2"/>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附件</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6</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：商务标A包初步评审表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A</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比选项目名称：坪山区坑梓街道、宝安区松岗街道、光明区新湖街道三个项目物业定位研究服务</w:t>
      </w:r>
    </w:p>
    <w:p>
      <w:pPr>
        <w:spacing w:after="120" w:afterLines="50" w:line="276" w:lineRule="auto"/>
        <w:ind w:right="630" w:firstLine="1546" w:firstLineChars="55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【A包：坪山区坑梓街道项目物业定位研究服务】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7"/>
        <w:tblW w:w="0" w:type="auto"/>
        <w:jc w:val="center"/>
        <w:tblLayout w:type="fixed"/>
        <w:tblCellMar>
          <w:top w:w="0" w:type="dxa"/>
          <w:left w:w="108" w:type="dxa"/>
          <w:bottom w:w="0" w:type="dxa"/>
          <w:right w:w="108" w:type="dxa"/>
        </w:tblCellMar>
      </w:tblPr>
      <w:tblGrid>
        <w:gridCol w:w="784"/>
        <w:gridCol w:w="5987"/>
        <w:gridCol w:w="1352"/>
        <w:gridCol w:w="1352"/>
        <w:gridCol w:w="1353"/>
        <w:gridCol w:w="1352"/>
        <w:gridCol w:w="1353"/>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7"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676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807"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0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7"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4"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35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13"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35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1020"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35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34" w:hRule="atLeast"/>
          <w:jc w:val="center"/>
        </w:trPr>
        <w:tc>
          <w:tcPr>
            <w:tcW w:w="67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cs="宋体"/>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w:t>
      </w:r>
      <w:r>
        <w:rPr>
          <w:rFonts w:ascii="宋体" w:hAnsi="宋体"/>
          <w:b/>
          <w:color w:val="0D0D0D" w:themeColor="text1" w:themeTint="F2"/>
          <w:sz w:val="28"/>
          <w:szCs w:val="21"/>
          <w14:textFill>
            <w14:solidFill>
              <w14:schemeClr w14:val="tx1">
                <w14:lumMod w14:val="95000"/>
                <w14:lumOff w14:val="5000"/>
              </w14:schemeClr>
            </w14:solidFill>
          </w14:textFill>
        </w:rPr>
        <w:t>7：</w:t>
      </w:r>
      <w:r>
        <w:rPr>
          <w:rFonts w:hint="eastAsia" w:ascii="宋体" w:hAnsi="宋体"/>
          <w:b/>
          <w:color w:val="0D0D0D" w:themeColor="text1" w:themeTint="F2"/>
          <w:sz w:val="28"/>
          <w:szCs w:val="21"/>
          <w14:textFill>
            <w14:solidFill>
              <w14:schemeClr w14:val="tx1">
                <w14:lumMod w14:val="95000"/>
                <w14:lumOff w14:val="5000"/>
              </w14:schemeClr>
            </w14:solidFill>
          </w14:textFill>
        </w:rPr>
        <w:t>商务标</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A包</w:t>
      </w:r>
      <w:r>
        <w:rPr>
          <w:rFonts w:hint="eastAsia" w:ascii="宋体" w:hAnsi="宋体"/>
          <w:b/>
          <w:color w:val="0D0D0D" w:themeColor="text1" w:themeTint="F2"/>
          <w:sz w:val="28"/>
          <w:szCs w:val="21"/>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标A包详细评审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比选项目名称：坪山区坑梓街道、宝安区松岗街道、光明区新湖街道三个项目物业定位研究服务</w:t>
      </w:r>
    </w:p>
    <w:p>
      <w:pPr>
        <w:spacing w:after="120" w:afterLines="50" w:line="276" w:lineRule="auto"/>
        <w:ind w:right="630" w:firstLine="1546" w:firstLineChars="55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【A包：坪山区坑梓街道项目物业定位研究服务】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7"/>
        <w:tblW w:w="15107" w:type="dxa"/>
        <w:jc w:val="center"/>
        <w:tblLayout w:type="fixed"/>
        <w:tblCellMar>
          <w:top w:w="0" w:type="dxa"/>
          <w:left w:w="0" w:type="dxa"/>
          <w:bottom w:w="0" w:type="dxa"/>
          <w:right w:w="0" w:type="dxa"/>
        </w:tblCellMar>
      </w:tblPr>
      <w:tblGrid>
        <w:gridCol w:w="606"/>
        <w:gridCol w:w="1068"/>
        <w:gridCol w:w="5846"/>
        <w:gridCol w:w="987"/>
        <w:gridCol w:w="1320"/>
        <w:gridCol w:w="1320"/>
        <w:gridCol w:w="1320"/>
        <w:gridCol w:w="1320"/>
        <w:gridCol w:w="1320"/>
      </w:tblGrid>
      <w:tr>
        <w:tblPrEx>
          <w:tblCellMar>
            <w:top w:w="0" w:type="dxa"/>
            <w:left w:w="0" w:type="dxa"/>
            <w:bottom w:w="0" w:type="dxa"/>
            <w:right w:w="0" w:type="dxa"/>
          </w:tblCellMar>
        </w:tblPrEx>
        <w:trPr>
          <w:trHeight w:val="653" w:hRule="atLeast"/>
          <w:jc w:val="center"/>
        </w:trPr>
        <w:tc>
          <w:tcPr>
            <w:tcW w:w="606"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序号</w:t>
            </w:r>
          </w:p>
        </w:tc>
        <w:tc>
          <w:tcPr>
            <w:tcW w:w="106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评审内容</w:t>
            </w:r>
          </w:p>
        </w:tc>
        <w:tc>
          <w:tcPr>
            <w:tcW w:w="5846"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评审标准</w:t>
            </w:r>
          </w:p>
        </w:tc>
        <w:tc>
          <w:tcPr>
            <w:tcW w:w="98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基准价</w:t>
            </w:r>
          </w:p>
        </w:tc>
        <w:tc>
          <w:tcPr>
            <w:tcW w:w="660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参选人名称</w:t>
            </w:r>
          </w:p>
        </w:tc>
      </w:tr>
      <w:tr>
        <w:tblPrEx>
          <w:tblCellMar>
            <w:top w:w="0" w:type="dxa"/>
            <w:left w:w="0" w:type="dxa"/>
            <w:bottom w:w="0" w:type="dxa"/>
            <w:right w:w="0" w:type="dxa"/>
          </w:tblCellMar>
        </w:tblPrEx>
        <w:trPr>
          <w:trHeight w:val="624" w:hRule="atLeast"/>
          <w:jc w:val="center"/>
        </w:trPr>
        <w:tc>
          <w:tcPr>
            <w:tcW w:w="606"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0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584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98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3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r>
      <w:tr>
        <w:tblPrEx>
          <w:tblCellMar>
            <w:top w:w="0" w:type="dxa"/>
            <w:left w:w="0" w:type="dxa"/>
            <w:bottom w:w="0" w:type="dxa"/>
            <w:right w:w="0" w:type="dxa"/>
          </w:tblCellMar>
        </w:tblPrEx>
        <w:trPr>
          <w:trHeight w:val="2612" w:hRule="atLeast"/>
          <w:jc w:val="center"/>
        </w:trPr>
        <w:tc>
          <w:tcPr>
            <w:tcW w:w="606"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1</w:t>
            </w:r>
          </w:p>
        </w:tc>
        <w:tc>
          <w:tcPr>
            <w:tcW w:w="1068"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报 价</w:t>
            </w:r>
          </w:p>
          <w:p>
            <w:pPr>
              <w:adjustRightInd w:val="0"/>
              <w:snapToGrid w:val="0"/>
              <w:jc w:val="left"/>
              <w:rPr>
                <w:rFonts w:ascii="宋体" w:hAnsi="宋体" w:cs="宋体"/>
                <w:sz w:val="24"/>
                <w:szCs w:val="24"/>
              </w:rPr>
            </w:pPr>
            <w:r>
              <w:rPr>
                <w:rFonts w:hint="eastAsia" w:ascii="宋体" w:hAnsi="宋体" w:cs="宋体"/>
                <w:sz w:val="24"/>
                <w:szCs w:val="24"/>
              </w:rPr>
              <w:t>（万元）</w:t>
            </w:r>
          </w:p>
        </w:tc>
        <w:tc>
          <w:tcPr>
            <w:tcW w:w="5846"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（1）商务标根据参选人所报的报价评分。</w:t>
            </w:r>
          </w:p>
          <w:p>
            <w:pPr>
              <w:adjustRightInd w:val="0"/>
              <w:snapToGrid w:val="0"/>
              <w:jc w:val="left"/>
              <w:rPr>
                <w:rFonts w:ascii="宋体" w:hAnsi="宋体" w:cs="宋体"/>
                <w:sz w:val="24"/>
                <w:szCs w:val="24"/>
              </w:rPr>
            </w:pPr>
            <w:r>
              <w:rPr>
                <w:rFonts w:hint="eastAsia" w:ascii="宋体" w:hAnsi="宋体" w:cs="宋体"/>
                <w:sz w:val="24"/>
                <w:szCs w:val="24"/>
              </w:rPr>
              <w:t>（2）商务分的确定：以进入商务标环节的所有参选人所报的服务费次低价为基准价且为满分50分，若进入商务标环节的参选人数仅3家，则以最低价为基准价且为满分。若次低价同时为次高价或最高价，则以最低价为基准价且为满分，按下列公式计算：</w:t>
            </w:r>
          </w:p>
          <w:p>
            <w:pPr>
              <w:adjustRightInd w:val="0"/>
              <w:snapToGrid w:val="0"/>
              <w:jc w:val="left"/>
              <w:rPr>
                <w:rFonts w:ascii="宋体" w:hAnsi="宋体" w:cs="宋体"/>
                <w:sz w:val="24"/>
                <w:szCs w:val="24"/>
              </w:rPr>
            </w:pPr>
            <w:r>
              <w:rPr>
                <w:rFonts w:hint="eastAsia" w:ascii="宋体" w:hAnsi="宋体" w:cs="宋体"/>
                <w:sz w:val="24"/>
                <w:szCs w:val="24"/>
              </w:rPr>
              <w:t xml:space="preserve">Fn=（50-50×│Sn-Sj│/Sj） </w:t>
            </w:r>
          </w:p>
          <w:p>
            <w:pPr>
              <w:adjustRightInd w:val="0"/>
              <w:snapToGrid w:val="0"/>
              <w:jc w:val="left"/>
              <w:rPr>
                <w:rFonts w:ascii="宋体" w:hAnsi="宋体" w:cs="宋体"/>
                <w:sz w:val="24"/>
                <w:szCs w:val="24"/>
              </w:rPr>
            </w:pPr>
            <w:r>
              <w:rPr>
                <w:rFonts w:hint="eastAsia" w:ascii="宋体" w:hAnsi="宋体" w:cs="宋体"/>
                <w:sz w:val="24"/>
                <w:szCs w:val="24"/>
              </w:rPr>
              <w:t>其中：Fn— 第n参选人的商务得分（</w:t>
            </w:r>
            <w:r>
              <w:rPr>
                <w:rFonts w:hint="eastAsia" w:ascii="宋体" w:hAnsi="宋体"/>
                <w:sz w:val="24"/>
                <w:szCs w:val="24"/>
              </w:rPr>
              <w:t>若计算所得</w:t>
            </w:r>
            <w:r>
              <w:rPr>
                <w:rFonts w:ascii="宋体" w:hAnsi="宋体"/>
                <w:sz w:val="24"/>
                <w:szCs w:val="24"/>
              </w:rPr>
              <w:t>Fn ≤0</w:t>
            </w:r>
            <w:r>
              <w:rPr>
                <w:rFonts w:hint="eastAsia" w:ascii="宋体" w:hAnsi="宋体"/>
                <w:sz w:val="24"/>
                <w:szCs w:val="24"/>
              </w:rPr>
              <w:t>，则该参选人的商务得分定为</w:t>
            </w:r>
            <w:r>
              <w:rPr>
                <w:rFonts w:ascii="宋体" w:hAnsi="宋体"/>
                <w:sz w:val="24"/>
                <w:szCs w:val="24"/>
              </w:rPr>
              <w:t>0</w:t>
            </w:r>
            <w:r>
              <w:rPr>
                <w:rFonts w:hint="eastAsia" w:ascii="宋体" w:hAnsi="宋体"/>
                <w:sz w:val="24"/>
                <w:szCs w:val="24"/>
              </w:rPr>
              <w:t>分</w:t>
            </w:r>
            <w:r>
              <w:rPr>
                <w:rFonts w:hint="eastAsia" w:ascii="宋体" w:hAnsi="宋体" w:cs="宋体"/>
                <w:sz w:val="24"/>
                <w:szCs w:val="24"/>
              </w:rPr>
              <w:t>）</w:t>
            </w:r>
          </w:p>
          <w:p>
            <w:pPr>
              <w:adjustRightInd w:val="0"/>
              <w:snapToGrid w:val="0"/>
              <w:jc w:val="left"/>
              <w:rPr>
                <w:rFonts w:ascii="宋体" w:hAnsi="宋体" w:cs="宋体"/>
                <w:sz w:val="24"/>
                <w:szCs w:val="24"/>
              </w:rPr>
            </w:pPr>
            <w:r>
              <w:rPr>
                <w:rFonts w:hint="eastAsia" w:ascii="宋体" w:hAnsi="宋体" w:cs="宋体"/>
                <w:sz w:val="24"/>
                <w:szCs w:val="24"/>
              </w:rPr>
              <w:t>Sn— 第n 参选人的服务费报价</w:t>
            </w:r>
          </w:p>
          <w:p>
            <w:pPr>
              <w:adjustRightInd w:val="0"/>
              <w:snapToGrid w:val="0"/>
              <w:jc w:val="left"/>
              <w:rPr>
                <w:rFonts w:ascii="宋体" w:hAnsi="宋体" w:cs="宋体"/>
                <w:sz w:val="24"/>
                <w:szCs w:val="24"/>
              </w:rPr>
            </w:pPr>
            <w:r>
              <w:rPr>
                <w:rFonts w:hint="eastAsia" w:ascii="宋体" w:hAnsi="宋体" w:cs="宋体"/>
                <w:sz w:val="24"/>
                <w:szCs w:val="24"/>
              </w:rPr>
              <w:t>Sj— 所有参选人所报的服务费报价基准价</w:t>
            </w:r>
          </w:p>
        </w:tc>
        <w:tc>
          <w:tcPr>
            <w:tcW w:w="987"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r>
        <w:tblPrEx>
          <w:tblCellMar>
            <w:top w:w="0" w:type="dxa"/>
            <w:left w:w="0" w:type="dxa"/>
            <w:bottom w:w="0" w:type="dxa"/>
            <w:right w:w="0" w:type="dxa"/>
          </w:tblCellMar>
        </w:tblPrEx>
        <w:trPr>
          <w:trHeight w:val="1706" w:hRule="atLeast"/>
          <w:jc w:val="center"/>
        </w:trPr>
        <w:tc>
          <w:tcPr>
            <w:tcW w:w="606"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2</w:t>
            </w:r>
          </w:p>
        </w:tc>
        <w:tc>
          <w:tcPr>
            <w:tcW w:w="1068"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得分</w:t>
            </w:r>
          </w:p>
          <w:p>
            <w:pPr>
              <w:adjustRightInd w:val="0"/>
              <w:snapToGrid w:val="0"/>
              <w:jc w:val="left"/>
              <w:rPr>
                <w:rFonts w:ascii="宋体" w:hAnsi="宋体" w:cs="宋体"/>
                <w:sz w:val="24"/>
                <w:szCs w:val="24"/>
              </w:rPr>
            </w:pPr>
          </w:p>
        </w:tc>
        <w:tc>
          <w:tcPr>
            <w:tcW w:w="5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987"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bl>
    <w:p>
      <w:pPr>
        <w:adjustRightInd w:val="0"/>
        <w:snapToGrid w:val="0"/>
        <w:spacing w:line="360" w:lineRule="auto"/>
        <w:jc w:val="left"/>
        <w:rPr>
          <w:rFonts w:ascii="宋体" w:hAnsi="宋体" w:cs="宋体"/>
          <w:b/>
          <w:bCs/>
          <w:kern w:val="0"/>
          <w:szCs w:val="21"/>
        </w:rPr>
      </w:pPr>
      <w:r>
        <w:rPr>
          <w:rFonts w:hint="eastAsia" w:ascii="宋体" w:hAnsi="宋体" w:cs="宋体"/>
          <w:szCs w:val="21"/>
        </w:rPr>
        <w:t>注：商务标得分的算术平均值保留小数点后两位数字，且四舍五入。</w:t>
      </w:r>
    </w:p>
    <w:p>
      <w:pPr>
        <w:widowControl/>
        <w:spacing w:line="360" w:lineRule="auto"/>
        <w:rPr>
          <w:rFonts w:ascii="宋体" w:hAnsi="宋体" w:cs="宋体"/>
          <w:b/>
          <w:bCs/>
          <w:kern w:val="0"/>
          <w:szCs w:val="21"/>
        </w:rPr>
      </w:pPr>
      <w:r>
        <w:rPr>
          <w:rFonts w:hint="eastAsia" w:ascii="宋体" w:hAnsi="宋体" w:cs="宋体"/>
          <w:b/>
          <w:szCs w:val="21"/>
        </w:rPr>
        <w:t xml:space="preserve">评委（签名）： </w:t>
      </w:r>
    </w:p>
    <w:p>
      <w:pPr>
        <w:widowControl/>
        <w:spacing w:line="360" w:lineRule="auto"/>
        <w:jc w:val="left"/>
        <w:rPr>
          <w:rFonts w:ascii="宋体" w:hAnsi="宋体"/>
          <w:b/>
          <w:sz w:val="24"/>
          <w:szCs w:val="24"/>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line="360" w:lineRule="auto"/>
        <w:jc w:val="left"/>
        <w:rPr>
          <w:rFonts w:ascii="宋体" w:hAnsi="宋体" w:cs="宋体"/>
          <w:b/>
          <w:bCs/>
          <w:kern w:val="0"/>
          <w:sz w:val="28"/>
          <w:szCs w:val="28"/>
        </w:rPr>
      </w:pPr>
      <w:r>
        <w:rPr>
          <w:rFonts w:hint="eastAsia" w:ascii="宋体" w:hAnsi="宋体"/>
          <w:b/>
          <w:sz w:val="28"/>
          <w:szCs w:val="28"/>
        </w:rPr>
        <w:t>附表8：A包最终得分结果汇总表</w:t>
      </w:r>
    </w:p>
    <w:p>
      <w:pPr>
        <w:widowControl/>
        <w:spacing w:line="360" w:lineRule="auto"/>
        <w:jc w:val="center"/>
        <w:rPr>
          <w:rFonts w:ascii="宋体" w:hAnsi="宋体" w:cs="宋体"/>
          <w:b/>
          <w:bCs/>
          <w:kern w:val="0"/>
          <w:sz w:val="36"/>
          <w:szCs w:val="36"/>
        </w:rPr>
      </w:pPr>
      <w:r>
        <w:rPr>
          <w:rFonts w:ascii="宋体" w:hAnsi="宋体" w:cs="宋体"/>
          <w:b/>
          <w:bCs/>
          <w:kern w:val="0"/>
          <w:sz w:val="36"/>
          <w:szCs w:val="36"/>
        </w:rPr>
        <w:t>A</w:t>
      </w:r>
      <w:r>
        <w:rPr>
          <w:rFonts w:hint="eastAsia" w:ascii="宋体" w:hAnsi="宋体" w:cs="宋体"/>
          <w:b/>
          <w:bCs/>
          <w:kern w:val="0"/>
          <w:sz w:val="36"/>
          <w:szCs w:val="36"/>
        </w:rPr>
        <w:t>包最终得分结果汇总表</w:t>
      </w:r>
    </w:p>
    <w:p>
      <w:pPr>
        <w:spacing w:after="120" w:afterLines="50" w:line="360" w:lineRule="auto"/>
        <w:ind w:right="630"/>
        <w:rPr>
          <w:rFonts w:ascii="宋体" w:hAnsi="宋体" w:cs="宋体"/>
          <w:b/>
          <w:bCs/>
          <w:snapToGrid w:val="0"/>
          <w:sz w:val="22"/>
          <w:szCs w:val="22"/>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比选项目名称：坪山区坑梓街道、宝安区松岗街道、光明区新湖街道三个项目物业定位研究服务</w:t>
      </w:r>
      <w:r>
        <w:rPr>
          <w:rFonts w:hint="eastAsia" w:ascii="宋体" w:hAnsi="宋体" w:cs="宋体"/>
          <w:b/>
          <w:bCs/>
          <w:snapToGrid w:val="0"/>
          <w:sz w:val="22"/>
          <w:szCs w:val="22"/>
        </w:rPr>
        <w:t xml:space="preserve"> </w:t>
      </w:r>
    </w:p>
    <w:p>
      <w:pPr>
        <w:spacing w:after="120" w:afterLines="50" w:line="276" w:lineRule="auto"/>
        <w:ind w:right="630" w:firstLine="1546" w:firstLineChars="55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【A包：坪山区坑梓街道项目物业定位研究服务】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7"/>
        <w:tblW w:w="14355" w:type="dxa"/>
        <w:jc w:val="center"/>
        <w:tblLayout w:type="fixed"/>
        <w:tblCellMar>
          <w:top w:w="0" w:type="dxa"/>
          <w:left w:w="0" w:type="dxa"/>
          <w:bottom w:w="0" w:type="dxa"/>
          <w:right w:w="0" w:type="dxa"/>
        </w:tblCellMar>
      </w:tblPr>
      <w:tblGrid>
        <w:gridCol w:w="758"/>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p>
          <w:p>
            <w:pPr>
              <w:spacing w:line="360" w:lineRule="auto"/>
              <w:jc w:val="center"/>
              <w:rPr>
                <w:rFonts w:ascii="宋体" w:hAnsi="宋体" w:cs="宋体"/>
                <w:b/>
                <w:bCs/>
                <w:sz w:val="22"/>
                <w:szCs w:val="22"/>
              </w:rPr>
            </w:pPr>
            <w:r>
              <w:rPr>
                <w:rFonts w:hint="eastAsia" w:ascii="宋体" w:hAnsi="宋体" w:cs="宋体"/>
                <w:b/>
                <w:bCs/>
                <w:sz w:val="22"/>
                <w:szCs w:val="22"/>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Fn</w:t>
            </w:r>
          </w:p>
          <w:p>
            <w:pPr>
              <w:spacing w:line="360" w:lineRule="auto"/>
              <w:jc w:val="center"/>
              <w:rPr>
                <w:rFonts w:ascii="宋体" w:hAnsi="宋体" w:cs="宋体"/>
                <w:b/>
                <w:bCs/>
                <w:sz w:val="22"/>
                <w:szCs w:val="22"/>
              </w:rPr>
            </w:pPr>
            <w:r>
              <w:rPr>
                <w:rFonts w:hint="eastAsia" w:ascii="宋体" w:hAnsi="宋体" w:cs="宋体"/>
                <w:b/>
                <w:bCs/>
                <w:sz w:val="22"/>
                <w:szCs w:val="22"/>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An</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47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An=En+Fn</w:t>
            </w: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ascii="宋体" w:hAnsi="宋体" w:cs="宋体"/>
                <w:sz w:val="22"/>
                <w:szCs w:val="22"/>
              </w:rPr>
              <w:t>6</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widowControl/>
        <w:spacing w:line="360" w:lineRule="auto"/>
        <w:jc w:val="right"/>
        <w:rPr>
          <w:rFonts w:ascii="宋体" w:hAnsi="宋体" w:cs="宋体"/>
          <w:b/>
          <w:bCs/>
          <w:kern w:val="0"/>
          <w:sz w:val="22"/>
          <w:szCs w:val="22"/>
        </w:rPr>
      </w:pPr>
      <w:r>
        <w:rPr>
          <w:rFonts w:hint="eastAsia" w:ascii="宋体" w:hAnsi="宋体" w:cs="宋体"/>
          <w:b/>
          <w:sz w:val="22"/>
          <w:szCs w:val="22"/>
        </w:rPr>
        <w:t>日期：</w:t>
      </w:r>
      <w:r>
        <w:rPr>
          <w:rFonts w:hint="eastAsia" w:ascii="宋体" w:hAnsi="宋体" w:cs="宋体"/>
          <w:sz w:val="22"/>
          <w:szCs w:val="22"/>
        </w:rPr>
        <w:t xml:space="preserve">     年    月    日</w:t>
      </w:r>
    </w:p>
    <w:p>
      <w:pPr>
        <w:widowControl/>
        <w:spacing w:line="360" w:lineRule="auto"/>
        <w:jc w:val="left"/>
        <w:rPr>
          <w:rFonts w:ascii="宋体" w:hAnsi="宋体" w:cs="宋体"/>
          <w:b/>
          <w:bCs/>
          <w:kern w:val="0"/>
          <w:szCs w:val="21"/>
        </w:rPr>
        <w:sectPr>
          <w:pgSz w:w="16840" w:h="11907" w:orient="landscape"/>
          <w:pgMar w:top="1440" w:right="1440" w:bottom="1134" w:left="1440" w:header="720" w:footer="890" w:gutter="0"/>
          <w:cols w:space="720" w:num="1"/>
        </w:sectPr>
      </w:pPr>
    </w:p>
    <w:p>
      <w:pPr>
        <w:tabs>
          <w:tab w:val="left" w:pos="0"/>
        </w:tabs>
        <w:snapToGrid w:val="0"/>
        <w:spacing w:line="360" w:lineRule="auto"/>
        <w:rPr>
          <w:rFonts w:ascii="宋体" w:hAnsi="宋体"/>
          <w:b/>
          <w:color w:val="0D0D0D" w:themeColor="text1" w:themeTint="F2"/>
          <w:sz w:val="28"/>
          <w:szCs w:val="28"/>
          <w14:textFill>
            <w14:solidFill>
              <w14:schemeClr w14:val="tx1">
                <w14:lumMod w14:val="95000"/>
                <w14:lumOff w14:val="5000"/>
              </w14:schemeClr>
            </w14:solidFill>
          </w14:textFill>
        </w:rPr>
      </w:pPr>
      <w:bookmarkStart w:id="78" w:name="_Toc197404916"/>
      <w:bookmarkStart w:id="79" w:name="_Toc197850644"/>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附件</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9</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：商务标</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B</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比选项目名称：坪山区坑梓街道、宝安区松岗街道、光明区新湖街道三个项目物业定位研究服务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【B包：宝安区松岗街道项目物业定位研究服务】</w:t>
      </w:r>
    </w:p>
    <w:tbl>
      <w:tblPr>
        <w:tblStyle w:val="47"/>
        <w:tblW w:w="0" w:type="auto"/>
        <w:jc w:val="center"/>
        <w:tblLayout w:type="fixed"/>
        <w:tblCellMar>
          <w:top w:w="0" w:type="dxa"/>
          <w:left w:w="108" w:type="dxa"/>
          <w:bottom w:w="0" w:type="dxa"/>
          <w:right w:w="108" w:type="dxa"/>
        </w:tblCellMar>
      </w:tblPr>
      <w:tblGrid>
        <w:gridCol w:w="792"/>
        <w:gridCol w:w="6054"/>
        <w:gridCol w:w="1367"/>
        <w:gridCol w:w="1367"/>
        <w:gridCol w:w="1368"/>
        <w:gridCol w:w="1367"/>
        <w:gridCol w:w="1368"/>
      </w:tblGrid>
      <w:tr>
        <w:tblPrEx>
          <w:tblCellMar>
            <w:top w:w="0" w:type="dxa"/>
            <w:left w:w="108" w:type="dxa"/>
            <w:bottom w:w="0" w:type="dxa"/>
            <w:right w:w="108" w:type="dxa"/>
          </w:tblCellMar>
        </w:tblPrEx>
        <w:trPr>
          <w:trHeight w:val="265" w:hRule="atLeast"/>
          <w:jc w:val="center"/>
        </w:trPr>
        <w:tc>
          <w:tcPr>
            <w:tcW w:w="79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6053"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6837"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955" w:hRule="atLeast"/>
          <w:jc w:val="center"/>
        </w:trPr>
        <w:tc>
          <w:tcPr>
            <w:tcW w:w="7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60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713"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6053"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43" w:hRule="atLeast"/>
          <w:jc w:val="center"/>
        </w:trPr>
        <w:tc>
          <w:tcPr>
            <w:tcW w:w="792"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605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3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725" w:hRule="atLeast"/>
          <w:jc w:val="center"/>
        </w:trPr>
        <w:tc>
          <w:tcPr>
            <w:tcW w:w="792"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605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3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735" w:hRule="atLeast"/>
          <w:jc w:val="center"/>
        </w:trPr>
        <w:tc>
          <w:tcPr>
            <w:tcW w:w="792"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605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3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32" w:hRule="atLeast"/>
          <w:jc w:val="center"/>
        </w:trPr>
        <w:tc>
          <w:tcPr>
            <w:tcW w:w="684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cs="宋体"/>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w:t>
      </w:r>
      <w:r>
        <w:rPr>
          <w:rFonts w:ascii="宋体" w:hAnsi="宋体"/>
          <w:b/>
          <w:color w:val="0D0D0D" w:themeColor="text1" w:themeTint="F2"/>
          <w:sz w:val="28"/>
          <w:szCs w:val="21"/>
          <w14:textFill>
            <w14:solidFill>
              <w14:schemeClr w14:val="tx1">
                <w14:lumMod w14:val="95000"/>
                <w14:lumOff w14:val="5000"/>
              </w14:schemeClr>
            </w14:solidFill>
          </w14:textFill>
        </w:rPr>
        <w:t>10：</w:t>
      </w:r>
      <w:r>
        <w:rPr>
          <w:rFonts w:hint="eastAsia" w:ascii="宋体" w:hAnsi="宋体"/>
          <w:b/>
          <w:color w:val="0D0D0D" w:themeColor="text1" w:themeTint="F2"/>
          <w:sz w:val="28"/>
          <w:szCs w:val="21"/>
          <w14:textFill>
            <w14:solidFill>
              <w14:schemeClr w14:val="tx1">
                <w14:lumMod w14:val="95000"/>
                <w14:lumOff w14:val="5000"/>
              </w14:schemeClr>
            </w14:solidFill>
          </w14:textFill>
        </w:rPr>
        <w:t>商务标</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B</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包</w:t>
      </w:r>
      <w:r>
        <w:rPr>
          <w:rFonts w:hint="eastAsia" w:ascii="宋体" w:hAnsi="宋体"/>
          <w:b/>
          <w:color w:val="0D0D0D" w:themeColor="text1" w:themeTint="F2"/>
          <w:sz w:val="28"/>
          <w:szCs w:val="21"/>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标B包详细评审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比选项目名称：坪山区坑梓街道、宝安区松岗街道、光明区新湖街道三个项目物业定位研究服务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【B包：宝安区松岗街道项目物业定位研究服务】</w:t>
      </w:r>
    </w:p>
    <w:tbl>
      <w:tblPr>
        <w:tblStyle w:val="47"/>
        <w:tblW w:w="15257" w:type="dxa"/>
        <w:jc w:val="center"/>
        <w:tblLayout w:type="fixed"/>
        <w:tblCellMar>
          <w:top w:w="0" w:type="dxa"/>
          <w:left w:w="0" w:type="dxa"/>
          <w:bottom w:w="0" w:type="dxa"/>
          <w:right w:w="0" w:type="dxa"/>
        </w:tblCellMar>
      </w:tblPr>
      <w:tblGrid>
        <w:gridCol w:w="612"/>
        <w:gridCol w:w="1078"/>
        <w:gridCol w:w="5904"/>
        <w:gridCol w:w="997"/>
        <w:gridCol w:w="1333"/>
        <w:gridCol w:w="1333"/>
        <w:gridCol w:w="1333"/>
        <w:gridCol w:w="1333"/>
        <w:gridCol w:w="1334"/>
      </w:tblGrid>
      <w:tr>
        <w:tblPrEx>
          <w:tblCellMar>
            <w:top w:w="0" w:type="dxa"/>
            <w:left w:w="0" w:type="dxa"/>
            <w:bottom w:w="0" w:type="dxa"/>
            <w:right w:w="0" w:type="dxa"/>
          </w:tblCellMar>
        </w:tblPrEx>
        <w:trPr>
          <w:trHeight w:val="625" w:hRule="atLeast"/>
          <w:jc w:val="center"/>
        </w:trPr>
        <w:tc>
          <w:tcPr>
            <w:tcW w:w="612"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序号</w:t>
            </w:r>
          </w:p>
        </w:tc>
        <w:tc>
          <w:tcPr>
            <w:tcW w:w="107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评审内容</w:t>
            </w:r>
          </w:p>
        </w:tc>
        <w:tc>
          <w:tcPr>
            <w:tcW w:w="5904"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评审标准</w:t>
            </w:r>
          </w:p>
        </w:tc>
        <w:tc>
          <w:tcPr>
            <w:tcW w:w="99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基准价</w:t>
            </w:r>
          </w:p>
        </w:tc>
        <w:tc>
          <w:tcPr>
            <w:tcW w:w="6666"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参选人名称</w:t>
            </w:r>
          </w:p>
        </w:tc>
      </w:tr>
      <w:tr>
        <w:tblPrEx>
          <w:tblCellMar>
            <w:top w:w="0" w:type="dxa"/>
            <w:left w:w="0" w:type="dxa"/>
            <w:bottom w:w="0" w:type="dxa"/>
            <w:right w:w="0" w:type="dxa"/>
          </w:tblCellMar>
        </w:tblPrEx>
        <w:trPr>
          <w:trHeight w:val="596" w:hRule="atLeast"/>
          <w:jc w:val="center"/>
        </w:trPr>
        <w:tc>
          <w:tcPr>
            <w:tcW w:w="612"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07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5904"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99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33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r>
      <w:tr>
        <w:tblPrEx>
          <w:tblCellMar>
            <w:top w:w="0" w:type="dxa"/>
            <w:left w:w="0" w:type="dxa"/>
            <w:bottom w:w="0" w:type="dxa"/>
            <w:right w:w="0" w:type="dxa"/>
          </w:tblCellMar>
        </w:tblPrEx>
        <w:trPr>
          <w:trHeight w:val="2497" w:hRule="atLeast"/>
          <w:jc w:val="center"/>
        </w:trPr>
        <w:tc>
          <w:tcPr>
            <w:tcW w:w="612"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1</w:t>
            </w:r>
          </w:p>
        </w:tc>
        <w:tc>
          <w:tcPr>
            <w:tcW w:w="1078"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报 价</w:t>
            </w:r>
          </w:p>
          <w:p>
            <w:pPr>
              <w:adjustRightInd w:val="0"/>
              <w:snapToGrid w:val="0"/>
              <w:jc w:val="left"/>
              <w:rPr>
                <w:rFonts w:ascii="宋体" w:hAnsi="宋体" w:cs="宋体"/>
                <w:sz w:val="24"/>
                <w:szCs w:val="24"/>
              </w:rPr>
            </w:pPr>
            <w:r>
              <w:rPr>
                <w:rFonts w:hint="eastAsia" w:ascii="宋体" w:hAnsi="宋体" w:cs="宋体"/>
                <w:sz w:val="24"/>
                <w:szCs w:val="24"/>
              </w:rPr>
              <w:t>（万元）</w:t>
            </w:r>
          </w:p>
        </w:tc>
        <w:tc>
          <w:tcPr>
            <w:tcW w:w="5904"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（1）商务标根据参选人所报的报价评分。</w:t>
            </w:r>
          </w:p>
          <w:p>
            <w:pPr>
              <w:adjustRightInd w:val="0"/>
              <w:snapToGrid w:val="0"/>
              <w:jc w:val="left"/>
              <w:rPr>
                <w:rFonts w:ascii="宋体" w:hAnsi="宋体" w:cs="宋体"/>
                <w:sz w:val="24"/>
                <w:szCs w:val="24"/>
              </w:rPr>
            </w:pPr>
            <w:r>
              <w:rPr>
                <w:rFonts w:hint="eastAsia" w:ascii="宋体" w:hAnsi="宋体" w:cs="宋体"/>
                <w:sz w:val="24"/>
                <w:szCs w:val="24"/>
              </w:rPr>
              <w:t>（2）商务分的确定：以进入商务标环节的所有参选人所报的服务费次低价为基准价且为满分50分，若进入商务标环节的参选人数仅3家，则以最低价为基准价且为满分。若次低价同时为次高价或最高价，则以最低价为基准价且为满分，按下列公式计算：</w:t>
            </w:r>
          </w:p>
          <w:p>
            <w:pPr>
              <w:adjustRightInd w:val="0"/>
              <w:snapToGrid w:val="0"/>
              <w:jc w:val="left"/>
              <w:rPr>
                <w:rFonts w:ascii="宋体" w:hAnsi="宋体" w:cs="宋体"/>
                <w:sz w:val="24"/>
                <w:szCs w:val="24"/>
              </w:rPr>
            </w:pPr>
            <w:r>
              <w:rPr>
                <w:rFonts w:hint="eastAsia" w:ascii="宋体" w:hAnsi="宋体" w:cs="宋体"/>
                <w:sz w:val="24"/>
                <w:szCs w:val="24"/>
              </w:rPr>
              <w:t xml:space="preserve">Fn=（50-50×│Sn-Sj│/Sj） </w:t>
            </w:r>
          </w:p>
          <w:p>
            <w:pPr>
              <w:adjustRightInd w:val="0"/>
              <w:snapToGrid w:val="0"/>
              <w:jc w:val="left"/>
              <w:rPr>
                <w:rFonts w:ascii="宋体" w:hAnsi="宋体" w:cs="宋体"/>
                <w:sz w:val="24"/>
                <w:szCs w:val="24"/>
              </w:rPr>
            </w:pPr>
            <w:r>
              <w:rPr>
                <w:rFonts w:hint="eastAsia" w:ascii="宋体" w:hAnsi="宋体" w:cs="宋体"/>
                <w:sz w:val="24"/>
                <w:szCs w:val="24"/>
              </w:rPr>
              <w:t>其中：Fn— 第n参选人的商务得分（</w:t>
            </w:r>
            <w:r>
              <w:rPr>
                <w:rFonts w:hint="eastAsia" w:ascii="宋体" w:hAnsi="宋体"/>
                <w:sz w:val="24"/>
                <w:szCs w:val="24"/>
              </w:rPr>
              <w:t>若计算所得</w:t>
            </w:r>
            <w:r>
              <w:rPr>
                <w:rFonts w:ascii="宋体" w:hAnsi="宋体"/>
                <w:sz w:val="24"/>
                <w:szCs w:val="24"/>
              </w:rPr>
              <w:t>Fn ≤0</w:t>
            </w:r>
            <w:r>
              <w:rPr>
                <w:rFonts w:hint="eastAsia" w:ascii="宋体" w:hAnsi="宋体"/>
                <w:sz w:val="24"/>
                <w:szCs w:val="24"/>
              </w:rPr>
              <w:t>，则该参选人的商务得分定为</w:t>
            </w:r>
            <w:r>
              <w:rPr>
                <w:rFonts w:ascii="宋体" w:hAnsi="宋体"/>
                <w:sz w:val="24"/>
                <w:szCs w:val="24"/>
              </w:rPr>
              <w:t>0</w:t>
            </w:r>
            <w:r>
              <w:rPr>
                <w:rFonts w:hint="eastAsia" w:ascii="宋体" w:hAnsi="宋体"/>
                <w:sz w:val="24"/>
                <w:szCs w:val="24"/>
              </w:rPr>
              <w:t>分</w:t>
            </w:r>
            <w:r>
              <w:rPr>
                <w:rFonts w:hint="eastAsia" w:ascii="宋体" w:hAnsi="宋体" w:cs="宋体"/>
                <w:sz w:val="24"/>
                <w:szCs w:val="24"/>
              </w:rPr>
              <w:t>）</w:t>
            </w:r>
          </w:p>
          <w:p>
            <w:pPr>
              <w:adjustRightInd w:val="0"/>
              <w:snapToGrid w:val="0"/>
              <w:jc w:val="left"/>
              <w:rPr>
                <w:rFonts w:ascii="宋体" w:hAnsi="宋体" w:cs="宋体"/>
                <w:sz w:val="24"/>
                <w:szCs w:val="24"/>
              </w:rPr>
            </w:pPr>
            <w:r>
              <w:rPr>
                <w:rFonts w:hint="eastAsia" w:ascii="宋体" w:hAnsi="宋体" w:cs="宋体"/>
                <w:sz w:val="24"/>
                <w:szCs w:val="24"/>
              </w:rPr>
              <w:t>Sn— 第n 参选人的服务费报价</w:t>
            </w:r>
          </w:p>
          <w:p>
            <w:pPr>
              <w:adjustRightInd w:val="0"/>
              <w:snapToGrid w:val="0"/>
              <w:jc w:val="left"/>
              <w:rPr>
                <w:rFonts w:ascii="宋体" w:hAnsi="宋体" w:cs="宋体"/>
                <w:sz w:val="24"/>
                <w:szCs w:val="24"/>
              </w:rPr>
            </w:pPr>
            <w:r>
              <w:rPr>
                <w:rFonts w:hint="eastAsia" w:ascii="宋体" w:hAnsi="宋体" w:cs="宋体"/>
                <w:sz w:val="24"/>
                <w:szCs w:val="24"/>
              </w:rPr>
              <w:t>Sj— 所有参选人所报的服务费报价基准价</w:t>
            </w:r>
          </w:p>
        </w:tc>
        <w:tc>
          <w:tcPr>
            <w:tcW w:w="997"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r>
        <w:tblPrEx>
          <w:tblCellMar>
            <w:top w:w="0" w:type="dxa"/>
            <w:left w:w="0" w:type="dxa"/>
            <w:bottom w:w="0" w:type="dxa"/>
            <w:right w:w="0" w:type="dxa"/>
          </w:tblCellMar>
        </w:tblPrEx>
        <w:trPr>
          <w:trHeight w:val="2193" w:hRule="atLeast"/>
          <w:jc w:val="center"/>
        </w:trPr>
        <w:tc>
          <w:tcPr>
            <w:tcW w:w="612"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2</w:t>
            </w:r>
          </w:p>
        </w:tc>
        <w:tc>
          <w:tcPr>
            <w:tcW w:w="1078"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得分</w:t>
            </w:r>
          </w:p>
          <w:p>
            <w:pPr>
              <w:adjustRightInd w:val="0"/>
              <w:snapToGrid w:val="0"/>
              <w:jc w:val="left"/>
              <w:rPr>
                <w:rFonts w:ascii="宋体" w:hAnsi="宋体" w:cs="宋体"/>
                <w:sz w:val="24"/>
                <w:szCs w:val="24"/>
              </w:rPr>
            </w:pPr>
          </w:p>
        </w:tc>
        <w:tc>
          <w:tcPr>
            <w:tcW w:w="59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997"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bl>
    <w:p>
      <w:pPr>
        <w:adjustRightInd w:val="0"/>
        <w:snapToGrid w:val="0"/>
        <w:spacing w:line="360" w:lineRule="auto"/>
        <w:jc w:val="left"/>
        <w:rPr>
          <w:rFonts w:ascii="宋体" w:hAnsi="宋体" w:cs="宋体"/>
          <w:b/>
          <w:bCs/>
          <w:kern w:val="0"/>
          <w:szCs w:val="21"/>
        </w:rPr>
      </w:pPr>
      <w:r>
        <w:rPr>
          <w:rFonts w:hint="eastAsia" w:ascii="宋体" w:hAnsi="宋体" w:cs="宋体"/>
          <w:szCs w:val="21"/>
        </w:rPr>
        <w:t>注：商务标得分的算术平均值保留小数点后两位数字，且四舍五入。</w:t>
      </w:r>
    </w:p>
    <w:p>
      <w:pPr>
        <w:widowControl/>
        <w:spacing w:line="360" w:lineRule="auto"/>
        <w:rPr>
          <w:rFonts w:ascii="宋体" w:hAnsi="宋体" w:cs="宋体"/>
          <w:b/>
          <w:bCs/>
          <w:kern w:val="0"/>
          <w:szCs w:val="21"/>
        </w:rPr>
      </w:pPr>
      <w:r>
        <w:rPr>
          <w:rFonts w:hint="eastAsia" w:ascii="宋体" w:hAnsi="宋体" w:cs="宋体"/>
          <w:b/>
          <w:szCs w:val="21"/>
        </w:rPr>
        <w:t xml:space="preserve">评委（签名）： </w:t>
      </w:r>
    </w:p>
    <w:p>
      <w:pPr>
        <w:widowControl/>
        <w:spacing w:line="360" w:lineRule="auto"/>
        <w:jc w:val="left"/>
        <w:rPr>
          <w:rFonts w:ascii="宋体" w:hAnsi="宋体"/>
          <w:b/>
          <w:sz w:val="24"/>
          <w:szCs w:val="24"/>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line="360" w:lineRule="auto"/>
        <w:jc w:val="left"/>
        <w:rPr>
          <w:rFonts w:ascii="宋体" w:hAnsi="宋体" w:cs="宋体"/>
          <w:b/>
          <w:bCs/>
          <w:kern w:val="0"/>
          <w:sz w:val="28"/>
          <w:szCs w:val="28"/>
        </w:rPr>
      </w:pPr>
      <w:r>
        <w:rPr>
          <w:rFonts w:hint="eastAsia" w:ascii="宋体" w:hAnsi="宋体"/>
          <w:b/>
          <w:sz w:val="28"/>
          <w:szCs w:val="28"/>
        </w:rPr>
        <w:t>附表</w:t>
      </w:r>
      <w:r>
        <w:rPr>
          <w:rFonts w:ascii="宋体" w:hAnsi="宋体"/>
          <w:b/>
          <w:sz w:val="28"/>
          <w:szCs w:val="28"/>
        </w:rPr>
        <w:t>11</w:t>
      </w:r>
      <w:r>
        <w:rPr>
          <w:rFonts w:hint="eastAsia" w:ascii="宋体" w:hAnsi="宋体"/>
          <w:b/>
          <w:sz w:val="28"/>
          <w:szCs w:val="28"/>
        </w:rPr>
        <w:t>：</w:t>
      </w:r>
      <w:r>
        <w:rPr>
          <w:rFonts w:ascii="宋体" w:hAnsi="宋体"/>
          <w:b/>
          <w:sz w:val="28"/>
          <w:szCs w:val="28"/>
        </w:rPr>
        <w:t>B</w:t>
      </w:r>
      <w:r>
        <w:rPr>
          <w:rFonts w:hint="eastAsia" w:ascii="宋体" w:hAnsi="宋体"/>
          <w:b/>
          <w:sz w:val="28"/>
          <w:szCs w:val="28"/>
        </w:rPr>
        <w:t>包最终得分结果汇总表</w:t>
      </w:r>
    </w:p>
    <w:p>
      <w:pPr>
        <w:widowControl/>
        <w:spacing w:line="360" w:lineRule="auto"/>
        <w:jc w:val="center"/>
        <w:rPr>
          <w:rFonts w:ascii="宋体" w:hAnsi="宋体" w:cs="宋体"/>
          <w:b/>
          <w:bCs/>
          <w:kern w:val="0"/>
          <w:sz w:val="36"/>
          <w:szCs w:val="36"/>
        </w:rPr>
      </w:pPr>
      <w:r>
        <w:rPr>
          <w:rFonts w:ascii="宋体" w:hAnsi="宋体" w:cs="宋体"/>
          <w:b/>
          <w:bCs/>
          <w:kern w:val="0"/>
          <w:sz w:val="36"/>
          <w:szCs w:val="36"/>
        </w:rPr>
        <w:t>B</w:t>
      </w:r>
      <w:r>
        <w:rPr>
          <w:rFonts w:hint="eastAsia" w:ascii="宋体" w:hAnsi="宋体" w:cs="宋体"/>
          <w:b/>
          <w:bCs/>
          <w:kern w:val="0"/>
          <w:sz w:val="36"/>
          <w:szCs w:val="36"/>
        </w:rPr>
        <w:t>包最终得分结果汇总表</w:t>
      </w:r>
    </w:p>
    <w:p>
      <w:pPr>
        <w:spacing w:after="120" w:afterLines="50" w:line="360" w:lineRule="auto"/>
        <w:ind w:right="630"/>
        <w:rPr>
          <w:rFonts w:ascii="宋体" w:hAnsi="宋体" w:cs="宋体"/>
          <w:b/>
          <w:bCs/>
          <w:snapToGrid w:val="0"/>
          <w:sz w:val="22"/>
          <w:szCs w:val="22"/>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比选项目名称：坪山区坑梓街道、宝安区松岗街道、光明区新湖街道三个项目物业定位研究服务</w:t>
      </w:r>
      <w:r>
        <w:rPr>
          <w:rFonts w:hint="eastAsia" w:ascii="宋体" w:hAnsi="宋体" w:cs="宋体"/>
          <w:b/>
          <w:bCs/>
          <w:snapToGrid w:val="0"/>
          <w:sz w:val="22"/>
          <w:szCs w:val="22"/>
        </w:rPr>
        <w:t xml:space="preserve"> </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【B包：宝安区松岗街道项目物业定位研究服务】</w:t>
      </w:r>
    </w:p>
    <w:tbl>
      <w:tblPr>
        <w:tblStyle w:val="47"/>
        <w:tblW w:w="14385" w:type="dxa"/>
        <w:jc w:val="center"/>
        <w:tblLayout w:type="fixed"/>
        <w:tblCellMar>
          <w:top w:w="0" w:type="dxa"/>
          <w:left w:w="0" w:type="dxa"/>
          <w:bottom w:w="0" w:type="dxa"/>
          <w:right w:w="0" w:type="dxa"/>
        </w:tblCellMar>
      </w:tblPr>
      <w:tblGrid>
        <w:gridCol w:w="759"/>
        <w:gridCol w:w="4194"/>
        <w:gridCol w:w="2310"/>
        <w:gridCol w:w="2410"/>
        <w:gridCol w:w="1971"/>
        <w:gridCol w:w="2741"/>
      </w:tblGrid>
      <w:tr>
        <w:tblPrEx>
          <w:tblCellMar>
            <w:top w:w="0" w:type="dxa"/>
            <w:left w:w="0" w:type="dxa"/>
            <w:bottom w:w="0" w:type="dxa"/>
            <w:right w:w="0" w:type="dxa"/>
          </w:tblCellMar>
        </w:tblPrEx>
        <w:trPr>
          <w:trHeight w:val="184"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4194"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310"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p>
          <w:p>
            <w:pPr>
              <w:spacing w:line="360" w:lineRule="auto"/>
              <w:jc w:val="center"/>
              <w:rPr>
                <w:rFonts w:ascii="宋体" w:hAnsi="宋体" w:cs="宋体"/>
                <w:b/>
                <w:bCs/>
                <w:sz w:val="22"/>
                <w:szCs w:val="22"/>
              </w:rPr>
            </w:pPr>
            <w:r>
              <w:rPr>
                <w:rFonts w:hint="eastAsia" w:ascii="宋体" w:hAnsi="宋体" w:cs="宋体"/>
                <w:b/>
                <w:bCs/>
                <w:sz w:val="22"/>
                <w:szCs w:val="22"/>
              </w:rPr>
              <w:t>（技术标得分）</w:t>
            </w:r>
          </w:p>
        </w:tc>
        <w:tc>
          <w:tcPr>
            <w:tcW w:w="2410"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Fn</w:t>
            </w:r>
          </w:p>
          <w:p>
            <w:pPr>
              <w:spacing w:line="360" w:lineRule="auto"/>
              <w:jc w:val="center"/>
              <w:rPr>
                <w:rFonts w:ascii="宋体" w:hAnsi="宋体" w:cs="宋体"/>
                <w:b/>
                <w:bCs/>
                <w:sz w:val="22"/>
                <w:szCs w:val="22"/>
              </w:rPr>
            </w:pPr>
            <w:r>
              <w:rPr>
                <w:rFonts w:hint="eastAsia" w:ascii="宋体" w:hAnsi="宋体" w:cs="宋体"/>
                <w:b/>
                <w:bCs/>
                <w:sz w:val="22"/>
                <w:szCs w:val="22"/>
              </w:rPr>
              <w:t>（商务标得分）</w:t>
            </w:r>
          </w:p>
        </w:tc>
        <w:tc>
          <w:tcPr>
            <w:tcW w:w="19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An</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741"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6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4194"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7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41"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An=En+Fn</w:t>
            </w:r>
          </w:p>
          <w:p>
            <w:pPr>
              <w:spacing w:line="360" w:lineRule="auto"/>
              <w:jc w:val="center"/>
              <w:rPr>
                <w:rFonts w:ascii="宋体" w:hAnsi="宋体" w:cs="宋体"/>
                <w:sz w:val="22"/>
                <w:szCs w:val="22"/>
              </w:rPr>
            </w:pPr>
          </w:p>
        </w:tc>
      </w:tr>
      <w:tr>
        <w:tblPrEx>
          <w:tblCellMar>
            <w:top w:w="0" w:type="dxa"/>
            <w:left w:w="0" w:type="dxa"/>
            <w:bottom w:w="0" w:type="dxa"/>
            <w:right w:w="0" w:type="dxa"/>
          </w:tblCellMar>
        </w:tblPrEx>
        <w:trPr>
          <w:trHeight w:val="66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4194"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7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66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4194"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7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66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4194"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7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66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4194"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7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63"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ascii="宋体" w:hAnsi="宋体" w:cs="宋体"/>
                <w:sz w:val="22"/>
                <w:szCs w:val="22"/>
              </w:rPr>
              <w:t>6</w:t>
            </w:r>
          </w:p>
        </w:tc>
        <w:tc>
          <w:tcPr>
            <w:tcW w:w="4194"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1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7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widowControl/>
        <w:spacing w:line="360" w:lineRule="auto"/>
        <w:jc w:val="right"/>
        <w:rPr>
          <w:rFonts w:ascii="宋体" w:hAnsi="宋体" w:cs="宋体"/>
          <w:b/>
          <w:bCs/>
          <w:kern w:val="0"/>
          <w:sz w:val="22"/>
          <w:szCs w:val="22"/>
        </w:rPr>
      </w:pPr>
      <w:r>
        <w:rPr>
          <w:rFonts w:hint="eastAsia" w:ascii="宋体" w:hAnsi="宋体" w:cs="宋体"/>
          <w:b/>
          <w:sz w:val="22"/>
          <w:szCs w:val="22"/>
        </w:rPr>
        <w:t>日期：</w:t>
      </w:r>
      <w:r>
        <w:rPr>
          <w:rFonts w:hint="eastAsia" w:ascii="宋体" w:hAnsi="宋体" w:cs="宋体"/>
          <w:sz w:val="22"/>
          <w:szCs w:val="22"/>
        </w:rPr>
        <w:t xml:space="preserve">     年    月    日</w:t>
      </w:r>
    </w:p>
    <w:p>
      <w:pPr>
        <w:tabs>
          <w:tab w:val="left" w:pos="0"/>
        </w:tabs>
        <w:snapToGrid w:val="0"/>
        <w:spacing w:line="360" w:lineRule="auto"/>
        <w:rPr>
          <w:rFonts w:ascii="宋体" w:hAnsi="宋体"/>
          <w:b/>
          <w:color w:val="0D0D0D" w:themeColor="text1" w:themeTint="F2"/>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附件</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12</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：商务标</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C</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C</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比选项目名称：坪山区坑梓街道、宝安区松岗街道、光明区新湖街道三个项目物业定位研究服务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【C包：光明区新湖街道项目物业定位研究服务】</w:t>
      </w:r>
    </w:p>
    <w:tbl>
      <w:tblPr>
        <w:tblStyle w:val="47"/>
        <w:tblW w:w="0" w:type="auto"/>
        <w:jc w:val="center"/>
        <w:tblLayout w:type="fixed"/>
        <w:tblCellMar>
          <w:top w:w="0" w:type="dxa"/>
          <w:left w:w="108" w:type="dxa"/>
          <w:bottom w:w="0" w:type="dxa"/>
          <w:right w:w="108" w:type="dxa"/>
        </w:tblCellMar>
      </w:tblPr>
      <w:tblGrid>
        <w:gridCol w:w="807"/>
        <w:gridCol w:w="6173"/>
        <w:gridCol w:w="1393"/>
        <w:gridCol w:w="1393"/>
        <w:gridCol w:w="1394"/>
        <w:gridCol w:w="1393"/>
        <w:gridCol w:w="1397"/>
      </w:tblGrid>
      <w:tr>
        <w:tblPrEx>
          <w:tblCellMar>
            <w:top w:w="0" w:type="dxa"/>
            <w:left w:w="108" w:type="dxa"/>
            <w:bottom w:w="0" w:type="dxa"/>
            <w:right w:w="108" w:type="dxa"/>
          </w:tblCellMar>
        </w:tblPrEx>
        <w:trPr>
          <w:trHeight w:val="215" w:hRule="atLeast"/>
          <w:jc w:val="center"/>
        </w:trPr>
        <w:tc>
          <w:tcPr>
            <w:tcW w:w="80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6172"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697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777" w:hRule="atLeast"/>
          <w:jc w:val="center"/>
        </w:trPr>
        <w:tc>
          <w:tcPr>
            <w:tcW w:w="8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617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9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9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80" w:hRule="atLeast"/>
          <w:jc w:val="center"/>
        </w:trPr>
        <w:tc>
          <w:tcPr>
            <w:tcW w:w="80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6172"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24" w:hRule="atLeast"/>
          <w:jc w:val="center"/>
        </w:trPr>
        <w:tc>
          <w:tcPr>
            <w:tcW w:w="807"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617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393"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90" w:hRule="atLeast"/>
          <w:jc w:val="center"/>
        </w:trPr>
        <w:tc>
          <w:tcPr>
            <w:tcW w:w="807"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617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393"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735" w:hRule="atLeast"/>
          <w:jc w:val="center"/>
        </w:trPr>
        <w:tc>
          <w:tcPr>
            <w:tcW w:w="807"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617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393"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14" w:hRule="atLeast"/>
          <w:jc w:val="center"/>
        </w:trPr>
        <w:tc>
          <w:tcPr>
            <w:tcW w:w="698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9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cs="宋体"/>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w:t>
      </w:r>
      <w:r>
        <w:rPr>
          <w:rFonts w:ascii="宋体" w:hAnsi="宋体"/>
          <w:b/>
          <w:color w:val="0D0D0D" w:themeColor="text1" w:themeTint="F2"/>
          <w:sz w:val="28"/>
          <w:szCs w:val="21"/>
          <w14:textFill>
            <w14:solidFill>
              <w14:schemeClr w14:val="tx1">
                <w14:lumMod w14:val="95000"/>
                <w14:lumOff w14:val="5000"/>
              </w14:schemeClr>
            </w14:solidFill>
          </w14:textFill>
        </w:rPr>
        <w:t>13：</w:t>
      </w:r>
      <w:r>
        <w:rPr>
          <w:rFonts w:hint="eastAsia" w:ascii="宋体" w:hAnsi="宋体"/>
          <w:b/>
          <w:color w:val="0D0D0D" w:themeColor="text1" w:themeTint="F2"/>
          <w:sz w:val="28"/>
          <w:szCs w:val="21"/>
          <w14:textFill>
            <w14:solidFill>
              <w14:schemeClr w14:val="tx1">
                <w14:lumMod w14:val="95000"/>
                <w14:lumOff w14:val="5000"/>
              </w14:schemeClr>
            </w14:solidFill>
          </w14:textFill>
        </w:rPr>
        <w:t>商务标</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C</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包</w:t>
      </w:r>
      <w:r>
        <w:rPr>
          <w:rFonts w:hint="eastAsia" w:ascii="宋体" w:hAnsi="宋体"/>
          <w:b/>
          <w:color w:val="0D0D0D" w:themeColor="text1" w:themeTint="F2"/>
          <w:sz w:val="28"/>
          <w:szCs w:val="21"/>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标C包详细评审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比选项目名称：坪山区坑梓街道、宝安区松岗街道、光明区新湖街道三个项目物业定位研究服务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【C包：光明区新湖街道项目物业定位研究服务】</w:t>
      </w:r>
    </w:p>
    <w:tbl>
      <w:tblPr>
        <w:tblStyle w:val="47"/>
        <w:tblW w:w="15240" w:type="dxa"/>
        <w:jc w:val="center"/>
        <w:tblLayout w:type="fixed"/>
        <w:tblCellMar>
          <w:top w:w="0" w:type="dxa"/>
          <w:left w:w="0" w:type="dxa"/>
          <w:bottom w:w="0" w:type="dxa"/>
          <w:right w:w="0" w:type="dxa"/>
        </w:tblCellMar>
      </w:tblPr>
      <w:tblGrid>
        <w:gridCol w:w="611"/>
        <w:gridCol w:w="1077"/>
        <w:gridCol w:w="5897"/>
        <w:gridCol w:w="996"/>
        <w:gridCol w:w="1331"/>
        <w:gridCol w:w="1331"/>
        <w:gridCol w:w="1331"/>
        <w:gridCol w:w="1331"/>
        <w:gridCol w:w="1335"/>
      </w:tblGrid>
      <w:tr>
        <w:tblPrEx>
          <w:tblCellMar>
            <w:top w:w="0" w:type="dxa"/>
            <w:left w:w="0" w:type="dxa"/>
            <w:bottom w:w="0" w:type="dxa"/>
            <w:right w:w="0" w:type="dxa"/>
          </w:tblCellMar>
        </w:tblPrEx>
        <w:trPr>
          <w:trHeight w:val="605" w:hRule="atLeast"/>
          <w:jc w:val="center"/>
        </w:trPr>
        <w:tc>
          <w:tcPr>
            <w:tcW w:w="611"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序号</w:t>
            </w:r>
          </w:p>
        </w:tc>
        <w:tc>
          <w:tcPr>
            <w:tcW w:w="107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评审内容</w:t>
            </w:r>
          </w:p>
        </w:tc>
        <w:tc>
          <w:tcPr>
            <w:tcW w:w="589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评审标准</w:t>
            </w:r>
          </w:p>
        </w:tc>
        <w:tc>
          <w:tcPr>
            <w:tcW w:w="996"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基准价</w:t>
            </w:r>
          </w:p>
        </w:tc>
        <w:tc>
          <w:tcPr>
            <w:tcW w:w="6659"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参选人名称</w:t>
            </w:r>
          </w:p>
        </w:tc>
      </w:tr>
      <w:tr>
        <w:tblPrEx>
          <w:tblCellMar>
            <w:top w:w="0" w:type="dxa"/>
            <w:left w:w="0" w:type="dxa"/>
            <w:bottom w:w="0" w:type="dxa"/>
            <w:right w:w="0" w:type="dxa"/>
          </w:tblCellMar>
        </w:tblPrEx>
        <w:trPr>
          <w:trHeight w:val="578" w:hRule="atLeast"/>
          <w:jc w:val="center"/>
        </w:trPr>
        <w:tc>
          <w:tcPr>
            <w:tcW w:w="611"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0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589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99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33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r>
      <w:tr>
        <w:tblPrEx>
          <w:tblCellMar>
            <w:top w:w="0" w:type="dxa"/>
            <w:left w:w="0" w:type="dxa"/>
            <w:bottom w:w="0" w:type="dxa"/>
            <w:right w:w="0" w:type="dxa"/>
          </w:tblCellMar>
        </w:tblPrEx>
        <w:trPr>
          <w:trHeight w:val="2419" w:hRule="atLeast"/>
          <w:jc w:val="center"/>
        </w:trPr>
        <w:tc>
          <w:tcPr>
            <w:tcW w:w="611"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1</w:t>
            </w:r>
          </w:p>
        </w:tc>
        <w:tc>
          <w:tcPr>
            <w:tcW w:w="1077"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报 价</w:t>
            </w:r>
          </w:p>
          <w:p>
            <w:pPr>
              <w:adjustRightInd w:val="0"/>
              <w:snapToGrid w:val="0"/>
              <w:jc w:val="left"/>
              <w:rPr>
                <w:rFonts w:ascii="宋体" w:hAnsi="宋体" w:cs="宋体"/>
                <w:sz w:val="24"/>
                <w:szCs w:val="24"/>
              </w:rPr>
            </w:pPr>
            <w:r>
              <w:rPr>
                <w:rFonts w:hint="eastAsia" w:ascii="宋体" w:hAnsi="宋体" w:cs="宋体"/>
                <w:sz w:val="24"/>
                <w:szCs w:val="24"/>
              </w:rPr>
              <w:t>（万元）</w:t>
            </w:r>
          </w:p>
        </w:tc>
        <w:tc>
          <w:tcPr>
            <w:tcW w:w="5897"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（1）商务标根据参选人所报的报价评分。</w:t>
            </w:r>
          </w:p>
          <w:p>
            <w:pPr>
              <w:adjustRightInd w:val="0"/>
              <w:snapToGrid w:val="0"/>
              <w:jc w:val="left"/>
              <w:rPr>
                <w:rFonts w:ascii="宋体" w:hAnsi="宋体" w:cs="宋体"/>
                <w:sz w:val="24"/>
                <w:szCs w:val="24"/>
              </w:rPr>
            </w:pPr>
            <w:r>
              <w:rPr>
                <w:rFonts w:hint="eastAsia" w:ascii="宋体" w:hAnsi="宋体" w:cs="宋体"/>
                <w:sz w:val="24"/>
                <w:szCs w:val="24"/>
              </w:rPr>
              <w:t>（2）商务分的确定：以进入商务标环节的所有参选人所报的服务费次低价为基准价且为满分50分，若进入商务标环节的参选人数仅3家，则以最低价为基准价且为满分。若次低价同时为次高价或最高价，则以最低价为基准价且为满分，按下列公式计算：</w:t>
            </w:r>
          </w:p>
          <w:p>
            <w:pPr>
              <w:adjustRightInd w:val="0"/>
              <w:snapToGrid w:val="0"/>
              <w:jc w:val="left"/>
              <w:rPr>
                <w:rFonts w:ascii="宋体" w:hAnsi="宋体" w:cs="宋体"/>
                <w:sz w:val="24"/>
                <w:szCs w:val="24"/>
              </w:rPr>
            </w:pPr>
            <w:r>
              <w:rPr>
                <w:rFonts w:hint="eastAsia" w:ascii="宋体" w:hAnsi="宋体" w:cs="宋体"/>
                <w:sz w:val="24"/>
                <w:szCs w:val="24"/>
              </w:rPr>
              <w:t xml:space="preserve">Fn=（50-50×│Sn-Sj│/Sj） </w:t>
            </w:r>
          </w:p>
          <w:p>
            <w:pPr>
              <w:adjustRightInd w:val="0"/>
              <w:snapToGrid w:val="0"/>
              <w:jc w:val="left"/>
              <w:rPr>
                <w:rFonts w:ascii="宋体" w:hAnsi="宋体" w:cs="宋体"/>
                <w:sz w:val="24"/>
                <w:szCs w:val="24"/>
              </w:rPr>
            </w:pPr>
            <w:r>
              <w:rPr>
                <w:rFonts w:hint="eastAsia" w:ascii="宋体" w:hAnsi="宋体" w:cs="宋体"/>
                <w:sz w:val="24"/>
                <w:szCs w:val="24"/>
              </w:rPr>
              <w:t>其中：Fn— 第n参选人的商务得分（</w:t>
            </w:r>
            <w:r>
              <w:rPr>
                <w:rFonts w:hint="eastAsia" w:ascii="宋体" w:hAnsi="宋体"/>
                <w:sz w:val="24"/>
                <w:szCs w:val="24"/>
              </w:rPr>
              <w:t>若计算所得</w:t>
            </w:r>
            <w:r>
              <w:rPr>
                <w:rFonts w:ascii="宋体" w:hAnsi="宋体"/>
                <w:sz w:val="24"/>
                <w:szCs w:val="24"/>
              </w:rPr>
              <w:t>Fn ≤0</w:t>
            </w:r>
            <w:r>
              <w:rPr>
                <w:rFonts w:hint="eastAsia" w:ascii="宋体" w:hAnsi="宋体"/>
                <w:sz w:val="24"/>
                <w:szCs w:val="24"/>
              </w:rPr>
              <w:t>，则该参选人的商务得分定为</w:t>
            </w:r>
            <w:r>
              <w:rPr>
                <w:rFonts w:ascii="宋体" w:hAnsi="宋体"/>
                <w:sz w:val="24"/>
                <w:szCs w:val="24"/>
              </w:rPr>
              <w:t>0</w:t>
            </w:r>
            <w:r>
              <w:rPr>
                <w:rFonts w:hint="eastAsia" w:ascii="宋体" w:hAnsi="宋体"/>
                <w:sz w:val="24"/>
                <w:szCs w:val="24"/>
              </w:rPr>
              <w:t>分</w:t>
            </w:r>
            <w:r>
              <w:rPr>
                <w:rFonts w:hint="eastAsia" w:ascii="宋体" w:hAnsi="宋体" w:cs="宋体"/>
                <w:sz w:val="24"/>
                <w:szCs w:val="24"/>
              </w:rPr>
              <w:t>）</w:t>
            </w:r>
          </w:p>
          <w:p>
            <w:pPr>
              <w:adjustRightInd w:val="0"/>
              <w:snapToGrid w:val="0"/>
              <w:jc w:val="left"/>
              <w:rPr>
                <w:rFonts w:ascii="宋体" w:hAnsi="宋体" w:cs="宋体"/>
                <w:sz w:val="24"/>
                <w:szCs w:val="24"/>
              </w:rPr>
            </w:pPr>
            <w:r>
              <w:rPr>
                <w:rFonts w:hint="eastAsia" w:ascii="宋体" w:hAnsi="宋体" w:cs="宋体"/>
                <w:sz w:val="24"/>
                <w:szCs w:val="24"/>
              </w:rPr>
              <w:t>Sn— 第n 参选人的服务费报价</w:t>
            </w:r>
          </w:p>
          <w:p>
            <w:pPr>
              <w:adjustRightInd w:val="0"/>
              <w:snapToGrid w:val="0"/>
              <w:jc w:val="left"/>
              <w:rPr>
                <w:rFonts w:ascii="宋体" w:hAnsi="宋体" w:cs="宋体"/>
                <w:sz w:val="24"/>
                <w:szCs w:val="24"/>
              </w:rPr>
            </w:pPr>
            <w:r>
              <w:rPr>
                <w:rFonts w:hint="eastAsia" w:ascii="宋体" w:hAnsi="宋体" w:cs="宋体"/>
                <w:sz w:val="24"/>
                <w:szCs w:val="24"/>
              </w:rPr>
              <w:t>Sj— 所有参选人所报的服务费报价基准价</w:t>
            </w:r>
          </w:p>
        </w:tc>
        <w:tc>
          <w:tcPr>
            <w:tcW w:w="996"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r>
        <w:tblPrEx>
          <w:tblCellMar>
            <w:top w:w="0" w:type="dxa"/>
            <w:left w:w="0" w:type="dxa"/>
            <w:bottom w:w="0" w:type="dxa"/>
            <w:right w:w="0" w:type="dxa"/>
          </w:tblCellMar>
        </w:tblPrEx>
        <w:trPr>
          <w:trHeight w:val="2125" w:hRule="atLeast"/>
          <w:jc w:val="center"/>
        </w:trPr>
        <w:tc>
          <w:tcPr>
            <w:tcW w:w="611"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2</w:t>
            </w:r>
          </w:p>
        </w:tc>
        <w:tc>
          <w:tcPr>
            <w:tcW w:w="1077"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得分</w:t>
            </w:r>
          </w:p>
          <w:p>
            <w:pPr>
              <w:adjustRightInd w:val="0"/>
              <w:snapToGrid w:val="0"/>
              <w:jc w:val="left"/>
              <w:rPr>
                <w:rFonts w:ascii="宋体" w:hAnsi="宋体" w:cs="宋体"/>
                <w:sz w:val="24"/>
                <w:szCs w:val="24"/>
              </w:rPr>
            </w:pPr>
          </w:p>
        </w:tc>
        <w:tc>
          <w:tcPr>
            <w:tcW w:w="589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996"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bl>
    <w:p>
      <w:pPr>
        <w:adjustRightInd w:val="0"/>
        <w:snapToGrid w:val="0"/>
        <w:spacing w:line="360" w:lineRule="auto"/>
        <w:jc w:val="left"/>
        <w:rPr>
          <w:rFonts w:ascii="宋体" w:hAnsi="宋体" w:cs="宋体"/>
          <w:b/>
          <w:bCs/>
          <w:kern w:val="0"/>
          <w:szCs w:val="21"/>
        </w:rPr>
      </w:pPr>
      <w:r>
        <w:rPr>
          <w:rFonts w:hint="eastAsia" w:ascii="宋体" w:hAnsi="宋体" w:cs="宋体"/>
          <w:szCs w:val="21"/>
        </w:rPr>
        <w:t>注：商务标得分的算术平均值保留小数点后两位数字，且四舍五入。</w:t>
      </w:r>
    </w:p>
    <w:p>
      <w:pPr>
        <w:widowControl/>
        <w:spacing w:line="360" w:lineRule="auto"/>
        <w:rPr>
          <w:rFonts w:ascii="宋体" w:hAnsi="宋体" w:cs="宋体"/>
          <w:b/>
          <w:bCs/>
          <w:kern w:val="0"/>
          <w:szCs w:val="21"/>
        </w:rPr>
      </w:pPr>
      <w:r>
        <w:rPr>
          <w:rFonts w:hint="eastAsia" w:ascii="宋体" w:hAnsi="宋体" w:cs="宋体"/>
          <w:b/>
          <w:szCs w:val="21"/>
        </w:rPr>
        <w:t xml:space="preserve">评委（签名）： </w:t>
      </w:r>
    </w:p>
    <w:p>
      <w:pPr>
        <w:widowControl/>
        <w:spacing w:line="360" w:lineRule="auto"/>
        <w:jc w:val="left"/>
        <w:rPr>
          <w:rFonts w:ascii="宋体" w:hAnsi="宋体"/>
          <w:b/>
          <w:sz w:val="24"/>
          <w:szCs w:val="24"/>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line="360" w:lineRule="auto"/>
        <w:jc w:val="left"/>
        <w:rPr>
          <w:rFonts w:ascii="宋体" w:hAnsi="宋体" w:cs="宋体"/>
          <w:b/>
          <w:bCs/>
          <w:kern w:val="0"/>
          <w:sz w:val="28"/>
          <w:szCs w:val="28"/>
        </w:rPr>
      </w:pPr>
      <w:r>
        <w:rPr>
          <w:rFonts w:hint="eastAsia" w:ascii="宋体" w:hAnsi="宋体"/>
          <w:b/>
          <w:sz w:val="28"/>
          <w:szCs w:val="28"/>
        </w:rPr>
        <w:t>附表</w:t>
      </w:r>
      <w:r>
        <w:rPr>
          <w:rFonts w:ascii="宋体" w:hAnsi="宋体"/>
          <w:b/>
          <w:sz w:val="28"/>
          <w:szCs w:val="28"/>
        </w:rPr>
        <w:t>14</w:t>
      </w:r>
      <w:r>
        <w:rPr>
          <w:rFonts w:hint="eastAsia" w:ascii="宋体" w:hAnsi="宋体"/>
          <w:b/>
          <w:sz w:val="28"/>
          <w:szCs w:val="28"/>
        </w:rPr>
        <w:t>：</w:t>
      </w:r>
      <w:r>
        <w:rPr>
          <w:rFonts w:ascii="宋体" w:hAnsi="宋体"/>
          <w:b/>
          <w:sz w:val="28"/>
          <w:szCs w:val="28"/>
        </w:rPr>
        <w:t>C</w:t>
      </w:r>
      <w:r>
        <w:rPr>
          <w:rFonts w:hint="eastAsia" w:ascii="宋体" w:hAnsi="宋体"/>
          <w:b/>
          <w:sz w:val="28"/>
          <w:szCs w:val="28"/>
        </w:rPr>
        <w:t>包最终得分结果汇总表</w:t>
      </w:r>
    </w:p>
    <w:p>
      <w:pPr>
        <w:widowControl/>
        <w:spacing w:line="360" w:lineRule="auto"/>
        <w:jc w:val="center"/>
        <w:rPr>
          <w:rFonts w:ascii="宋体" w:hAnsi="宋体" w:cs="宋体"/>
          <w:b/>
          <w:bCs/>
          <w:kern w:val="0"/>
          <w:sz w:val="36"/>
          <w:szCs w:val="36"/>
        </w:rPr>
      </w:pPr>
      <w:r>
        <w:rPr>
          <w:rFonts w:ascii="宋体" w:hAnsi="宋体" w:cs="宋体"/>
          <w:b/>
          <w:bCs/>
          <w:kern w:val="0"/>
          <w:sz w:val="36"/>
          <w:szCs w:val="36"/>
        </w:rPr>
        <w:t>C</w:t>
      </w:r>
      <w:r>
        <w:rPr>
          <w:rFonts w:hint="eastAsia" w:ascii="宋体" w:hAnsi="宋体" w:cs="宋体"/>
          <w:b/>
          <w:bCs/>
          <w:kern w:val="0"/>
          <w:sz w:val="36"/>
          <w:szCs w:val="36"/>
        </w:rPr>
        <w:t>包最终得分结果汇总表</w:t>
      </w:r>
    </w:p>
    <w:p>
      <w:pPr>
        <w:spacing w:after="120" w:afterLines="50" w:line="360" w:lineRule="auto"/>
        <w:ind w:right="630"/>
        <w:rPr>
          <w:rFonts w:ascii="宋体" w:hAnsi="宋体" w:cs="宋体"/>
          <w:b/>
          <w:bCs/>
          <w:snapToGrid w:val="0"/>
          <w:sz w:val="22"/>
          <w:szCs w:val="22"/>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比选项目名称：坪山区坑梓街道、宝安区松岗街道、光明区新湖街道三个项目物业定位研究服务</w:t>
      </w:r>
      <w:r>
        <w:rPr>
          <w:rFonts w:hint="eastAsia" w:ascii="宋体" w:hAnsi="宋体" w:cs="宋体"/>
          <w:b/>
          <w:bCs/>
          <w:snapToGrid w:val="0"/>
          <w:sz w:val="22"/>
          <w:szCs w:val="22"/>
        </w:rPr>
        <w:t xml:space="preserve"> </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【C包：光明区新湖街道项目物业定位研究服务】</w:t>
      </w:r>
    </w:p>
    <w:tbl>
      <w:tblPr>
        <w:tblStyle w:val="47"/>
        <w:tblW w:w="14355" w:type="dxa"/>
        <w:jc w:val="center"/>
        <w:tblLayout w:type="fixed"/>
        <w:tblCellMar>
          <w:top w:w="0" w:type="dxa"/>
          <w:left w:w="0" w:type="dxa"/>
          <w:bottom w:w="0" w:type="dxa"/>
          <w:right w:w="0" w:type="dxa"/>
        </w:tblCellMar>
      </w:tblPr>
      <w:tblGrid>
        <w:gridCol w:w="758"/>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p>
          <w:p>
            <w:pPr>
              <w:spacing w:line="360" w:lineRule="auto"/>
              <w:jc w:val="center"/>
              <w:rPr>
                <w:rFonts w:ascii="宋体" w:hAnsi="宋体" w:cs="宋体"/>
                <w:b/>
                <w:bCs/>
                <w:sz w:val="22"/>
                <w:szCs w:val="22"/>
              </w:rPr>
            </w:pPr>
            <w:r>
              <w:rPr>
                <w:rFonts w:hint="eastAsia" w:ascii="宋体" w:hAnsi="宋体" w:cs="宋体"/>
                <w:b/>
                <w:bCs/>
                <w:sz w:val="22"/>
                <w:szCs w:val="22"/>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Fn</w:t>
            </w:r>
          </w:p>
          <w:p>
            <w:pPr>
              <w:spacing w:line="360" w:lineRule="auto"/>
              <w:jc w:val="center"/>
              <w:rPr>
                <w:rFonts w:ascii="宋体" w:hAnsi="宋体" w:cs="宋体"/>
                <w:b/>
                <w:bCs/>
                <w:sz w:val="22"/>
                <w:szCs w:val="22"/>
              </w:rPr>
            </w:pPr>
            <w:r>
              <w:rPr>
                <w:rFonts w:hint="eastAsia" w:ascii="宋体" w:hAnsi="宋体" w:cs="宋体"/>
                <w:b/>
                <w:bCs/>
                <w:sz w:val="22"/>
                <w:szCs w:val="22"/>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An</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47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An=En+Fn</w:t>
            </w:r>
          </w:p>
          <w:p>
            <w:pPr>
              <w:spacing w:line="360" w:lineRule="auto"/>
              <w:jc w:val="center"/>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ascii="宋体" w:hAnsi="宋体" w:cs="宋体"/>
                <w:sz w:val="22"/>
                <w:szCs w:val="22"/>
              </w:rPr>
              <w:t>6</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widowControl/>
        <w:spacing w:line="360" w:lineRule="auto"/>
        <w:jc w:val="right"/>
        <w:rPr>
          <w:rFonts w:ascii="宋体" w:hAnsi="宋体" w:cs="宋体"/>
          <w:b/>
          <w:bCs/>
          <w:kern w:val="0"/>
          <w:sz w:val="22"/>
          <w:szCs w:val="22"/>
        </w:rPr>
      </w:pPr>
      <w:r>
        <w:rPr>
          <w:rFonts w:hint="eastAsia" w:ascii="宋体" w:hAnsi="宋体" w:cs="宋体"/>
          <w:b/>
          <w:sz w:val="22"/>
          <w:szCs w:val="22"/>
        </w:rPr>
        <w:t>日期：</w:t>
      </w:r>
      <w:r>
        <w:rPr>
          <w:rFonts w:hint="eastAsia" w:ascii="宋体" w:hAnsi="宋体" w:cs="宋体"/>
          <w:sz w:val="22"/>
          <w:szCs w:val="22"/>
        </w:rPr>
        <w:t xml:space="preserve">     年    月    日</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p>
    <w:p>
      <w:pPr>
        <w:widowControl/>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8"/>
          <w14:textFill>
            <w14:solidFill>
              <w14:schemeClr w14:val="tx1">
                <w14:lumMod w14:val="95000"/>
                <w14:lumOff w14:val="5000"/>
              </w14:schemeClr>
            </w14:solidFill>
          </w14:textFill>
        </w:rPr>
        <w:t>附表</w:t>
      </w:r>
      <w:r>
        <w:rPr>
          <w:rFonts w:ascii="宋体" w:hAnsi="宋体"/>
          <w:b/>
          <w:color w:val="0D0D0D" w:themeColor="text1" w:themeTint="F2"/>
          <w:sz w:val="28"/>
          <w:szCs w:val="28"/>
          <w14:textFill>
            <w14:solidFill>
              <w14:schemeClr w14:val="tx1">
                <w14:lumMod w14:val="95000"/>
                <w14:lumOff w14:val="5000"/>
              </w14:schemeClr>
            </w14:solidFill>
          </w14:textFill>
        </w:rPr>
        <w:t>15</w:t>
      </w:r>
      <w:r>
        <w:rPr>
          <w:rFonts w:hint="eastAsia" w:ascii="宋体" w:hAnsi="宋体"/>
          <w:b/>
          <w:color w:val="0D0D0D" w:themeColor="text1" w:themeTint="F2"/>
          <w:sz w:val="28"/>
          <w:szCs w:val="28"/>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w:t>
      </w:r>
      <w:r>
        <w:rPr>
          <w:rFonts w:hint="eastAsia" w:ascii="宋体" w:hAnsi="宋体"/>
          <w:b/>
          <w:color w:val="0D0D0D" w:themeColor="text1" w:themeTint="F2"/>
          <w:sz w:val="28"/>
          <w:szCs w:val="28"/>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A包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坪山区坑梓街道、宝安区松岗街道、光明区新湖街道三个项目物业定位研究服务</w:t>
      </w:r>
    </w:p>
    <w:p>
      <w:pPr>
        <w:spacing w:after="120" w:afterLines="50" w:line="360"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【A包：坪山区坑梓街道项目物业定位研究服务】</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7"/>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900"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7"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610"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381"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p>
    <w:p>
      <w:pPr>
        <w:tabs>
          <w:tab w:val="left" w:pos="1215"/>
        </w:tabs>
        <w:spacing w:line="480" w:lineRule="atLeast"/>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cs="宋体"/>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w:t>
      </w:r>
      <w:r>
        <w:rPr>
          <w:rFonts w:ascii="宋体" w:hAnsi="宋体"/>
          <w:b/>
          <w:color w:val="0D0D0D" w:themeColor="text1" w:themeTint="F2"/>
          <w:sz w:val="28"/>
          <w:szCs w:val="21"/>
          <w14:textFill>
            <w14:solidFill>
              <w14:schemeClr w14:val="tx1">
                <w14:lumMod w14:val="95000"/>
                <w14:lumOff w14:val="5000"/>
              </w14:schemeClr>
            </w14:solidFill>
          </w14:textFill>
        </w:rPr>
        <w:t>16</w:t>
      </w:r>
      <w:r>
        <w:rPr>
          <w:rFonts w:hint="eastAsia" w:ascii="宋体" w:hAnsi="宋体"/>
          <w:b/>
          <w:color w:val="0D0D0D" w:themeColor="text1" w:themeTint="F2"/>
          <w:sz w:val="28"/>
          <w:szCs w:val="21"/>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B包</w:t>
      </w:r>
      <w:r>
        <w:rPr>
          <w:rFonts w:hint="eastAsia" w:ascii="宋体" w:hAnsi="宋体"/>
          <w:b/>
          <w:color w:val="0D0D0D" w:themeColor="text1" w:themeTint="F2"/>
          <w:sz w:val="28"/>
          <w:szCs w:val="21"/>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B包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坪山区坑梓街道、宝安区松岗街道、光明区新湖街道三个项目物业定位研究服务</w:t>
      </w:r>
    </w:p>
    <w:p>
      <w:pPr>
        <w:spacing w:after="120" w:afterLines="50" w:line="360"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【B包：宝安区松岗街道项目物业定位研究服务】</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7"/>
        <w:tblW w:w="9325" w:type="dxa"/>
        <w:tblInd w:w="108" w:type="dxa"/>
        <w:tblLayout w:type="fixed"/>
        <w:tblCellMar>
          <w:top w:w="0" w:type="dxa"/>
          <w:left w:w="0" w:type="dxa"/>
          <w:bottom w:w="0" w:type="dxa"/>
          <w:right w:w="0" w:type="dxa"/>
        </w:tblCellMar>
      </w:tblPr>
      <w:tblGrid>
        <w:gridCol w:w="779"/>
        <w:gridCol w:w="3125"/>
        <w:gridCol w:w="856"/>
        <w:gridCol w:w="1533"/>
        <w:gridCol w:w="3032"/>
      </w:tblGrid>
      <w:tr>
        <w:tblPrEx>
          <w:tblCellMar>
            <w:top w:w="0" w:type="dxa"/>
            <w:left w:w="0" w:type="dxa"/>
            <w:bottom w:w="0" w:type="dxa"/>
            <w:right w:w="0" w:type="dxa"/>
          </w:tblCellMar>
        </w:tblPrEx>
        <w:trPr>
          <w:trHeight w:val="904" w:hRule="atLeast"/>
        </w:trPr>
        <w:tc>
          <w:tcPr>
            <w:tcW w:w="779"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25"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6"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3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31"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613"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402" w:hRule="atLeast"/>
        </w:trPr>
        <w:tc>
          <w:tcPr>
            <w:tcW w:w="9325"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8"/>
          <w14:textFill>
            <w14:solidFill>
              <w14:schemeClr w14:val="tx1">
                <w14:lumMod w14:val="95000"/>
                <w14:lumOff w14:val="5000"/>
              </w14:schemeClr>
            </w14:solidFill>
          </w14:textFill>
        </w:rPr>
        <w:t>附表</w:t>
      </w:r>
      <w:r>
        <w:rPr>
          <w:rFonts w:ascii="宋体" w:hAnsi="宋体"/>
          <w:b/>
          <w:color w:val="0D0D0D" w:themeColor="text1" w:themeTint="F2"/>
          <w:sz w:val="28"/>
          <w:szCs w:val="28"/>
          <w14:textFill>
            <w14:solidFill>
              <w14:schemeClr w14:val="tx1">
                <w14:lumMod w14:val="95000"/>
                <w14:lumOff w14:val="5000"/>
              </w14:schemeClr>
            </w14:solidFill>
          </w14:textFill>
        </w:rPr>
        <w:t>17</w:t>
      </w:r>
      <w:r>
        <w:rPr>
          <w:rFonts w:hint="eastAsia" w:ascii="宋体" w:hAnsi="宋体"/>
          <w:b/>
          <w:color w:val="0D0D0D" w:themeColor="text1" w:themeTint="F2"/>
          <w:sz w:val="28"/>
          <w:szCs w:val="28"/>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w:t>
      </w:r>
      <w:r>
        <w:rPr>
          <w:rFonts w:hint="eastAsia" w:ascii="宋体" w:hAnsi="宋体"/>
          <w:b/>
          <w:color w:val="0D0D0D" w:themeColor="text1" w:themeTint="F2"/>
          <w:sz w:val="28"/>
          <w:szCs w:val="28"/>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C</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包参选人最终排序表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坪山区坑梓街道、宝安区松岗街道、光明区新湖街道三个项目物业定位研究服务</w:t>
      </w:r>
    </w:p>
    <w:p>
      <w:pPr>
        <w:spacing w:after="120" w:afterLines="50" w:line="360" w:lineRule="auto"/>
        <w:ind w:right="63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【C包：光明区新湖街道项目物业定位研究服务】</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7"/>
        <w:tblW w:w="9269" w:type="dxa"/>
        <w:tblInd w:w="108" w:type="dxa"/>
        <w:tblLayout w:type="fixed"/>
        <w:tblCellMar>
          <w:top w:w="0" w:type="dxa"/>
          <w:left w:w="0" w:type="dxa"/>
          <w:bottom w:w="0" w:type="dxa"/>
          <w:right w:w="0" w:type="dxa"/>
        </w:tblCellMar>
      </w:tblPr>
      <w:tblGrid>
        <w:gridCol w:w="774"/>
        <w:gridCol w:w="3106"/>
        <w:gridCol w:w="851"/>
        <w:gridCol w:w="1524"/>
        <w:gridCol w:w="3014"/>
      </w:tblGrid>
      <w:tr>
        <w:tblPrEx>
          <w:tblCellMar>
            <w:top w:w="0" w:type="dxa"/>
            <w:left w:w="0" w:type="dxa"/>
            <w:bottom w:w="0" w:type="dxa"/>
            <w:right w:w="0" w:type="dxa"/>
          </w:tblCellMar>
        </w:tblPrEx>
        <w:trPr>
          <w:trHeight w:val="919" w:hRule="atLeast"/>
        </w:trPr>
        <w:tc>
          <w:tcPr>
            <w:tcW w:w="774"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6"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4"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13"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623" w:hRule="atLeast"/>
        </w:trPr>
        <w:tc>
          <w:tcPr>
            <w:tcW w:w="774"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13"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505" w:hRule="atLeast"/>
        </w:trPr>
        <w:tc>
          <w:tcPr>
            <w:tcW w:w="774"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13"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505" w:hRule="atLeast"/>
        </w:trPr>
        <w:tc>
          <w:tcPr>
            <w:tcW w:w="774"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13"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505" w:hRule="atLeast"/>
        </w:trPr>
        <w:tc>
          <w:tcPr>
            <w:tcW w:w="774"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13"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505" w:hRule="atLeast"/>
        </w:trPr>
        <w:tc>
          <w:tcPr>
            <w:tcW w:w="774"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13"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474" w:hRule="atLeast"/>
        </w:trPr>
        <w:tc>
          <w:tcPr>
            <w:tcW w:w="9269"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360" w:lineRule="auto"/>
        <w:jc w:val="left"/>
        <w:rPr>
          <w:rFonts w:ascii="宋体" w:hAnsi="宋体" w:cs="宋体"/>
          <w:b/>
          <w:sz w:val="24"/>
          <w:szCs w:val="24"/>
        </w:rPr>
      </w:pPr>
      <w:r>
        <w:rPr>
          <w:rFonts w:hint="eastAsia" w:ascii="宋体" w:hAnsi="宋体" w:cs="宋体"/>
          <w:b/>
          <w:sz w:val="24"/>
          <w:szCs w:val="24"/>
        </w:rPr>
        <w:t>附表</w:t>
      </w:r>
      <w:r>
        <w:rPr>
          <w:rFonts w:ascii="宋体" w:hAnsi="宋体" w:cs="宋体"/>
          <w:b/>
          <w:sz w:val="24"/>
          <w:szCs w:val="24"/>
        </w:rPr>
        <w:t>18</w:t>
      </w:r>
      <w:r>
        <w:rPr>
          <w:rFonts w:hint="eastAsia" w:ascii="宋体" w:hAnsi="宋体" w:cs="宋体"/>
          <w:b/>
          <w:sz w:val="24"/>
          <w:szCs w:val="24"/>
        </w:rPr>
        <w:t>（此表由评委或参选人填写）</w:t>
      </w:r>
    </w:p>
    <w:p>
      <w:pPr>
        <w:jc w:val="center"/>
        <w:rPr>
          <w:rFonts w:ascii="宋体" w:hAnsi="宋体"/>
          <w:b/>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项目名称：</w:t>
      </w:r>
    </w:p>
    <w:p>
      <w:pPr>
        <w:jc w:val="left"/>
        <w:rPr>
          <w:rFonts w:ascii="宋体" w:hAnsi="宋体"/>
          <w:sz w:val="24"/>
          <w:szCs w:val="24"/>
        </w:rPr>
      </w:pPr>
      <w:r>
        <w:rPr>
          <w:rFonts w:hint="eastAsia" w:ascii="宋体" w:hAnsi="宋体"/>
          <w:sz w:val="24"/>
          <w:szCs w:val="24"/>
        </w:rPr>
        <w:t>日期：XXXX年XX月XX日</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评委签字</w:t>
            </w:r>
          </w:p>
          <w:p>
            <w:pPr>
              <w:spacing w:line="560" w:lineRule="exact"/>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bl>
    <w:p>
      <w:pPr>
        <w:spacing w:line="560" w:lineRule="exact"/>
        <w:rPr>
          <w:rFonts w:ascii="宋体" w:hAnsi="宋体"/>
          <w:sz w:val="24"/>
          <w:szCs w:val="24"/>
        </w:rPr>
      </w:pPr>
    </w:p>
    <w:bookmarkEnd w:id="78"/>
    <w:bookmarkEnd w:id="79"/>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80" w:name="_Toc88680712"/>
      <w:bookmarkStart w:id="81" w:name="_Toc497549391"/>
      <w:bookmarkStart w:id="82" w:name="_Toc389620241"/>
      <w:bookmarkStart w:id="83" w:name="_Toc197404928"/>
      <w:bookmarkStart w:id="84" w:name="_Toc197850648"/>
      <w:bookmarkStart w:id="85" w:name="_Toc385992401"/>
      <w:bookmarkStart w:id="86" w:name="_Toc486842341"/>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二篇  参选文件格式</w:t>
      </w:r>
      <w:bookmarkEnd w:id="80"/>
    </w:p>
    <w:p>
      <w:pPr>
        <w:spacing w:before="60" w:beforeLines="25" w:after="60" w:afterLines="25" w:line="480" w:lineRule="atLeast"/>
        <w:ind w:firstLine="547" w:firstLineChars="228"/>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每一对“[ ]”及其中间的内容，均应由参选人在编制参选文件时根据情况以适当的内容代替。每一对“{ }”及其中间的内容，参选人在编制参选文件时应予以删除。每一对“（ ）”及其中间的内容，请勿删除。在留有的空白或下划线上或…均应由参选人填入适当内容。</w:t>
      </w: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pStyle w:val="24"/>
        <w:spacing w:line="480" w:lineRule="atLeast"/>
      </w:pPr>
      <w:r>
        <w:rPr>
          <w:rFonts w:hAnsi="宋体"/>
          <w:color w:val="0D0D0D" w:themeColor="text1" w:themeTint="F2"/>
          <w14:textFill>
            <w14:solidFill>
              <w14:schemeClr w14:val="tx1">
                <w14:lumMod w14:val="95000"/>
                <w14:lumOff w14:val="5000"/>
              </w14:schemeClr>
            </w14:solidFill>
          </w14:textFill>
        </w:rPr>
        <w:br w:type="page"/>
      </w: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87" w:name="_Toc88680713"/>
      <w:r>
        <w:rPr>
          <w:rFonts w:hint="eastAsia" w:ascii="宋体" w:hAnsi="宋体"/>
          <w:color w:val="0D0D0D" w:themeColor="text1" w:themeTint="F2"/>
          <w:sz w:val="48"/>
          <w:szCs w:val="36"/>
          <w14:textFill>
            <w14:solidFill>
              <w14:schemeClr w14:val="tx1">
                <w14:lumMod w14:val="95000"/>
                <w14:lumOff w14:val="5000"/>
              </w14:schemeClr>
            </w14:solidFill>
          </w14:textFill>
        </w:rPr>
        <w:t>第一章</w:t>
      </w:r>
      <w:bookmarkEnd w:id="87"/>
    </w:p>
    <w:p>
      <w:pPr>
        <w:spacing w:line="480" w:lineRule="atLeast"/>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asciiTheme="minorEastAsia" w:hAnsiTheme="minorEastAsia"/>
          <w:b/>
          <w:sz w:val="44"/>
          <w:szCs w:val="44"/>
        </w:rPr>
        <w:t>坪山区坑梓街道、宝安区松岗街道、光明区新湖街道三个项目物业定位研究服务</w:t>
      </w: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spacing w:line="360" w:lineRule="auto"/>
        <w:jc w:val="center"/>
        <w:rPr>
          <w:rFonts w:hAnsi="宋体"/>
          <w:b/>
          <w:bCs/>
          <w:sz w:val="52"/>
          <w:szCs w:val="52"/>
        </w:rPr>
      </w:pPr>
      <w:r>
        <w:rPr>
          <w:rFonts w:hint="eastAsia" w:hAnsi="宋体"/>
          <w:b/>
          <w:bCs/>
          <w:sz w:val="52"/>
          <w:szCs w:val="52"/>
        </w:rPr>
        <w:t>技术标书</w:t>
      </w: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480" w:lineRule="atLeast"/>
        <w:rPr>
          <w:rFonts w:ascii="宋体" w:hAnsi="宋体"/>
          <w:color w:val="0D0D0D" w:themeColor="text1" w:themeTint="F2"/>
          <w:sz w:val="52"/>
          <w:szCs w:val="52"/>
          <w:u w:val="single"/>
          <w14:textFill>
            <w14:solidFill>
              <w14:schemeClr w14:val="tx1">
                <w14:lumMod w14:val="95000"/>
                <w14:lumOff w14:val="5000"/>
              </w14:schemeClr>
            </w14:solidFill>
          </w14:textFill>
        </w:rPr>
      </w:pPr>
      <w:bookmarkStart w:id="88" w:name="_Toc19191474"/>
    </w:p>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技术标书目录</w:t>
      </w:r>
      <w:bookmarkEnd w:id="88"/>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w:t>
      </w:r>
      <w:bookmarkStart w:id="89" w:name="_Hlk91534435"/>
      <w:r>
        <w:rPr>
          <w:rFonts w:hint="eastAsia" w:ascii="Times New Roman" w:cs="Times New Roman"/>
          <w:b/>
          <w:color w:val="0D0D0D" w:themeColor="text1" w:themeTint="F2"/>
          <w:szCs w:val="28"/>
          <w14:textFill>
            <w14:solidFill>
              <w14:schemeClr w14:val="tx1">
                <w14:lumMod w14:val="95000"/>
                <w14:lumOff w14:val="5000"/>
              </w14:schemeClr>
            </w14:solidFill>
          </w14:textFill>
        </w:rPr>
        <w:t>参选人营业执照复印件、政府网站显示经营范围含房地产咨询或策划或代理等的信息页</w:t>
      </w:r>
      <w:bookmarkEnd w:id="89"/>
      <w:r>
        <w:rPr>
          <w:rFonts w:hint="eastAsia"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二、法定代表人资格证明书原件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三、法定代表人身份证件复印件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四、法定代表人授权委托书原件（加盖公章）【如递交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五、被授权人身份证件复印件（加盖公章）【如递交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0"/>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w:t>
      </w:r>
      <w:r>
        <w:rPr>
          <w:rFonts w:hint="eastAsia"/>
          <w:b/>
          <w:color w:val="0D0D0D" w:themeColor="text1" w:themeTint="F2"/>
          <w14:textFill>
            <w14:solidFill>
              <w14:schemeClr w14:val="tx1">
                <w14:lumMod w14:val="95000"/>
                <w14:lumOff w14:val="5000"/>
              </w14:schemeClr>
            </w14:solidFill>
          </w14:textFill>
        </w:rPr>
        <w:t>参选业绩证明材料（加盖公章）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b/>
          <w:color w:val="0D0D0D" w:themeColor="text1" w:themeTint="F2"/>
          <w14:textFill>
            <w14:solidFill>
              <w14:schemeClr w14:val="tx1">
                <w14:lumMod w14:val="95000"/>
                <w14:lumOff w14:val="5000"/>
              </w14:schemeClr>
            </w14:solidFill>
          </w14:textFill>
        </w:rPr>
        <w:t>七、拟任团队及证明材料（加盖公章）</w:t>
      </w: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pStyle w:val="6"/>
        <w:numPr>
          <w:ilvl w:val="0"/>
          <w:numId w:val="2"/>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0" w:name="_Toc88680714"/>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参选人营业执照复印件、政府网站显示经营范围含房地产咨询或策划或代理等的信息页（加盖公章）</w:t>
      </w:r>
      <w:bookmarkEnd w:id="90"/>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6"/>
        <w:numPr>
          <w:ilvl w:val="2"/>
          <w:numId w:val="0"/>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1" w:name="_Toc88680715"/>
      <w:bookmarkStart w:id="92" w:name="_Toc510187106"/>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91"/>
      <w:bookmarkEnd w:id="92"/>
    </w:p>
    <w:p>
      <w:pPr>
        <w:spacing w:line="480" w:lineRule="atLeast"/>
        <w:ind w:firstLine="5651"/>
        <w:rPr>
          <w:rFonts w:eastAsia="华文中宋"/>
          <w:color w:val="0D0D0D" w:themeColor="text1" w:themeTint="F2"/>
          <w:sz w:val="2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4"/>
        <w:spacing w:line="480" w:lineRule="atLeast"/>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480" w:lineRule="atLeast"/>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480" w:lineRule="atLeast"/>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3" w:name="_Toc510187107"/>
      <w:bookmarkStart w:id="94" w:name="_Toc88680716"/>
      <w:bookmarkStart w:id="95" w:name="_Toc276575949"/>
      <w:r>
        <w:rPr>
          <w:rFonts w:hint="eastAsia" w:ascii="宋体" w:hAnsi="宋体"/>
          <w:color w:val="0D0D0D" w:themeColor="text1" w:themeTint="F2"/>
          <w:sz w:val="24"/>
          <w14:textFill>
            <w14:solidFill>
              <w14:schemeClr w14:val="tx1">
                <w14:lumMod w14:val="95000"/>
                <w14:lumOff w14:val="5000"/>
              </w14:schemeClr>
            </w14:solidFill>
          </w14:textFill>
        </w:rPr>
        <w:t>三、法定代表人身份证件复印件</w:t>
      </w:r>
      <w:bookmarkEnd w:id="93"/>
      <w:bookmarkEnd w:id="94"/>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6" w:name="_Toc510187108"/>
      <w:bookmarkStart w:id="97" w:name="_Toc88680717"/>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bookmarkEnd w:id="96"/>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w:t>
      </w:r>
      <w:r>
        <w:rPr>
          <w:rFonts w:hint="eastAsia" w:ascii="宋体" w:hAnsi="宋体"/>
          <w:color w:val="0D0D0D" w:themeColor="text1" w:themeTint="F2"/>
          <w:sz w:val="24"/>
          <w14:textFill>
            <w14:solidFill>
              <w14:schemeClr w14:val="tx1">
                <w14:lumMod w14:val="95000"/>
                <w14:lumOff w14:val="5000"/>
              </w14:schemeClr>
            </w14:solidFill>
          </w14:textFill>
        </w:rPr>
        <w:t>文件人不是法定代表人时提供】</w:t>
      </w:r>
      <w:bookmarkEnd w:id="97"/>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pStyle w:val="15"/>
        <w:spacing w:line="480" w:lineRule="atLeast"/>
        <w:rPr>
          <w:color w:val="0D0D0D" w:themeColor="text1" w:themeTint="F2"/>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480" w:lineRule="atLeast"/>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pPr>
      <w:bookmarkStart w:id="98" w:name="_Toc510187109"/>
      <w:bookmarkStart w:id="99" w:name="_Toc88680718"/>
      <w:r>
        <w:rPr>
          <w:rFonts w:hint="eastAsia" w:ascii="宋体" w:hAnsi="宋体"/>
          <w:color w:val="0D0D0D" w:themeColor="text1" w:themeTint="F2"/>
          <w:sz w:val="24"/>
          <w14:textFill>
            <w14:solidFill>
              <w14:schemeClr w14:val="tx1">
                <w14:lumMod w14:val="95000"/>
                <w14:lumOff w14:val="5000"/>
              </w14:schemeClr>
            </w14:solidFill>
          </w14:textFill>
        </w:rPr>
        <w:t>五、被授权人身份证件复印件</w:t>
      </w:r>
      <w:bookmarkEnd w:id="98"/>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比选文件</w:t>
      </w:r>
      <w:r>
        <w:rPr>
          <w:rFonts w:hint="eastAsia" w:ascii="宋体" w:hAnsi="宋体"/>
          <w:color w:val="0D0D0D" w:themeColor="text1" w:themeTint="F2"/>
          <w:sz w:val="24"/>
          <w14:textFill>
            <w14:solidFill>
              <w14:schemeClr w14:val="tx1">
                <w14:lumMod w14:val="95000"/>
                <w14:lumOff w14:val="5000"/>
              </w14:schemeClr>
            </w14:solidFill>
          </w14:textFill>
        </w:rPr>
        <w:t>人不是法定代表人时提供】</w:t>
      </w:r>
      <w:bookmarkEnd w:id="99"/>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sectPr>
          <w:headerReference r:id="rId5" w:type="default"/>
          <w:pgSz w:w="11907" w:h="16840"/>
          <w:pgMar w:top="1440" w:right="1134" w:bottom="1440" w:left="1440" w:header="720" w:footer="890" w:gutter="0"/>
          <w:cols w:space="720" w:num="1"/>
          <w:titlePg/>
          <w:docGrid w:linePitch="360" w:charSpace="0"/>
        </w:sectPr>
      </w:pPr>
    </w:p>
    <w:p>
      <w:pPr>
        <w:pStyle w:val="6"/>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100" w:name="_Toc88680719"/>
      <w:r>
        <w:rPr>
          <w:rFonts w:hint="eastAsia" w:ascii="宋体" w:hAnsi="宋体"/>
          <w:bCs/>
          <w:color w:val="0D0D0D" w:themeColor="text1" w:themeTint="F2"/>
          <w:kern w:val="2"/>
          <w:sz w:val="24"/>
          <w14:textFill>
            <w14:solidFill>
              <w14:schemeClr w14:val="tx1">
                <w14:lumMod w14:val="95000"/>
                <w14:lumOff w14:val="5000"/>
              </w14:schemeClr>
            </w14:solidFill>
          </w14:textFill>
        </w:rPr>
        <w:t>六、参选业绩证明材料（加盖公章）</w:t>
      </w:r>
      <w:bookmarkEnd w:id="100"/>
    </w:p>
    <w:p>
      <w:pPr>
        <w:pStyle w:val="80"/>
        <w:spacing w:before="50" w:line="276" w:lineRule="auto"/>
        <w:rPr>
          <w:rFonts w:ascii="Times New Roman" w:cs="Times New Roman"/>
          <w:b/>
          <w:bCs/>
          <w:color w:val="0D0D0D" w:themeColor="text1" w:themeTint="F2"/>
          <w:szCs w:val="28"/>
          <w14:textFill>
            <w14:solidFill>
              <w14:schemeClr w14:val="tx1">
                <w14:lumMod w14:val="95000"/>
                <w14:lumOff w14:val="5000"/>
              </w14:schemeClr>
            </w14:solidFill>
          </w14:textFill>
        </w:rPr>
      </w:pPr>
      <w:r>
        <w:rPr>
          <w:rFonts w:hint="eastAsia" w:ascii="Times New Roman" w:cs="Times New Roman"/>
          <w:b/>
          <w:bCs/>
          <w:color w:val="0D0D0D" w:themeColor="text1" w:themeTint="F2"/>
          <w:szCs w:val="28"/>
          <w14:textFill>
            <w14:solidFill>
              <w14:schemeClr w14:val="tx1">
                <w14:lumMod w14:val="95000"/>
                <w14:lumOff w14:val="5000"/>
              </w14:schemeClr>
            </w14:solidFill>
          </w14:textFill>
        </w:rPr>
        <w:t>2018年1月1日至今，在深圳承担规模在10万㎡以上含住宅、商业等业态的综合体前期策划研究项目不少于3个（含3个）。</w:t>
      </w:r>
    </w:p>
    <w:p>
      <w:pPr>
        <w:spacing w:line="27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备注：（1）业绩证明材料需提供相关合同关键页复印件，合同关键页显示项目名称、委托内容（合同名称或合同内容含有“策划”/“定位”/“研究”等项目前期定位服务内容的关键字）、委托面积、签约日期、盖章页等。合同日期以合同签约日期为准，面积以合同签约面积为准，若合同上无面积，需另外提供面积证明材料（加盖公章）;（2）综合体项目指含住宅、商业、写字楼、公寓、酒店、产业等业态中至少3种及以上业态的项目。</w:t>
      </w: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pStyle w:val="6"/>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r>
        <w:rPr>
          <w:rFonts w:hint="eastAsia" w:ascii="宋体" w:hAnsi="宋体"/>
          <w:bCs/>
          <w:color w:val="0D0D0D" w:themeColor="text1" w:themeTint="F2"/>
          <w:kern w:val="2"/>
          <w:sz w:val="24"/>
          <w14:textFill>
            <w14:solidFill>
              <w14:schemeClr w14:val="tx1">
                <w14:lumMod w14:val="95000"/>
                <w14:lumOff w14:val="5000"/>
              </w14:schemeClr>
            </w14:solidFill>
          </w14:textFill>
        </w:rPr>
        <w:t>七、拟任团队及证明材料（加盖公章）</w:t>
      </w:r>
    </w:p>
    <w:p/>
    <w:tbl>
      <w:tblPr>
        <w:tblStyle w:val="47"/>
        <w:tblW w:w="1126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0"/>
        <w:gridCol w:w="1418"/>
        <w:gridCol w:w="1276"/>
        <w:gridCol w:w="567"/>
        <w:gridCol w:w="567"/>
        <w:gridCol w:w="567"/>
        <w:gridCol w:w="708"/>
        <w:gridCol w:w="708"/>
        <w:gridCol w:w="3880"/>
        <w:gridCol w:w="9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1" w:hRule="atLeast"/>
          <w:jc w:val="center"/>
        </w:trPr>
        <w:tc>
          <w:tcPr>
            <w:tcW w:w="610" w:type="dxa"/>
            <w:tcBorders>
              <w:top w:val="single" w:color="auto" w:sz="4" w:space="0"/>
              <w:left w:val="single" w:color="auto" w:sz="4" w:space="0"/>
              <w:bottom w:val="single" w:color="auto" w:sz="4" w:space="0"/>
              <w:right w:val="single" w:color="auto" w:sz="4" w:space="0"/>
            </w:tcBorders>
            <w:vAlign w:val="center"/>
          </w:tcPr>
          <w:p>
            <w:pPr>
              <w:tabs>
                <w:tab w:val="left" w:pos="580"/>
              </w:tabs>
              <w:adjustRightInd w:val="0"/>
              <w:snapToGrid w:val="0"/>
              <w:jc w:val="center"/>
              <w:rPr>
                <w:rFonts w:ascii="宋体" w:hAnsi="宋体"/>
                <w:sz w:val="24"/>
                <w:szCs w:val="24"/>
              </w:rPr>
            </w:pPr>
            <w:r>
              <w:rPr>
                <w:rFonts w:hint="eastAsia" w:ascii="宋体" w:hAnsi="宋体"/>
                <w:sz w:val="24"/>
                <w:szCs w:val="24"/>
              </w:rPr>
              <w:t>编号</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项目职务</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姓名</w:t>
            </w: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性别</w:t>
            </w: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年龄</w:t>
            </w: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学历</w:t>
            </w: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工作年限</w:t>
            </w: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公司职务</w:t>
            </w:r>
          </w:p>
        </w:tc>
        <w:tc>
          <w:tcPr>
            <w:tcW w:w="38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代表业绩（项目）</w:t>
            </w:r>
          </w:p>
        </w:tc>
        <w:tc>
          <w:tcPr>
            <w:tcW w:w="9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6" w:hRule="atLeast"/>
          <w:jc w:val="center"/>
        </w:trPr>
        <w:tc>
          <w:tcPr>
            <w:tcW w:w="6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项目总监</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38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项目名称、建面、工作任务、服务时间</w:t>
            </w:r>
          </w:p>
        </w:tc>
        <w:tc>
          <w:tcPr>
            <w:tcW w:w="9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6" w:hRule="atLeast"/>
          <w:jc w:val="center"/>
        </w:trPr>
        <w:tc>
          <w:tcPr>
            <w:tcW w:w="6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2</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项目策划经理</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38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9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6" w:hRule="atLeast"/>
          <w:jc w:val="center"/>
        </w:trPr>
        <w:tc>
          <w:tcPr>
            <w:tcW w:w="6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3</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sz w:val="24"/>
                <w:szCs w:val="24"/>
              </w:rPr>
            </w:pPr>
            <w:r>
              <w:rPr>
                <w:rFonts w:hint="eastAsia" w:ascii="宋体" w:hAnsi="宋体"/>
                <w:color w:val="000000"/>
                <w:sz w:val="24"/>
                <w:szCs w:val="24"/>
              </w:rPr>
              <w:t>项目主策</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38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9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6" w:hRule="atLeast"/>
          <w:jc w:val="center"/>
        </w:trPr>
        <w:tc>
          <w:tcPr>
            <w:tcW w:w="6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4</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sz w:val="24"/>
                <w:szCs w:val="24"/>
              </w:rPr>
            </w:pPr>
            <w:r>
              <w:rPr>
                <w:rFonts w:hint="eastAsia" w:ascii="宋体" w:hAnsi="宋体"/>
                <w:color w:val="000000"/>
                <w:sz w:val="24"/>
                <w:szCs w:val="24"/>
              </w:rPr>
              <w:t>项目策划</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38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9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6" w:hRule="atLeast"/>
          <w:jc w:val="center"/>
        </w:trPr>
        <w:tc>
          <w:tcPr>
            <w:tcW w:w="6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r>
              <w:rPr>
                <w:rFonts w:hint="eastAsia" w:ascii="宋体" w:hAnsi="宋体"/>
                <w:sz w:val="24"/>
                <w:szCs w:val="24"/>
              </w:rPr>
              <w:t>5</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000000"/>
                <w:sz w:val="24"/>
                <w:szCs w:val="24"/>
              </w:rPr>
            </w:pPr>
            <w:r>
              <w:rPr>
                <w:rFonts w:hint="eastAsia" w:ascii="宋体" w:hAnsi="宋体"/>
                <w:color w:val="000000"/>
                <w:sz w:val="24"/>
                <w:szCs w:val="24"/>
              </w:rPr>
              <w:t>项目策划</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56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宋体" w:hAnsi="宋体"/>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388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c>
          <w:tcPr>
            <w:tcW w:w="9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 w:val="24"/>
                <w:szCs w:val="24"/>
              </w:rPr>
            </w:pPr>
          </w:p>
        </w:tc>
      </w:tr>
    </w:tbl>
    <w:p>
      <w:pPr>
        <w:widowControl/>
        <w:jc w:val="left"/>
        <w:rPr>
          <w:rFonts w:ascii="宋体" w:hAnsi="宋体"/>
          <w:sz w:val="24"/>
          <w:szCs w:val="24"/>
        </w:rPr>
      </w:pPr>
    </w:p>
    <w:p>
      <w:pPr>
        <w:widowControl/>
        <w:jc w:val="left"/>
        <w:rPr>
          <w:rFonts w:ascii="宋体" w:hAnsi="宋体"/>
          <w:sz w:val="24"/>
          <w:szCs w:val="24"/>
        </w:rPr>
      </w:pPr>
      <w:r>
        <w:rPr>
          <w:rFonts w:hint="eastAsia" w:ascii="宋体" w:hAnsi="宋体"/>
          <w:sz w:val="24"/>
          <w:szCs w:val="24"/>
        </w:rPr>
        <w:t>注：1、代表业绩请注明参与项目的名称、规模、主要承担的工作任务及服务时间，如有项目相关资料，请作附件。</w:t>
      </w:r>
    </w:p>
    <w:p>
      <w:pPr>
        <w:sectPr>
          <w:pgSz w:w="11907" w:h="16840"/>
          <w:pgMar w:top="1440" w:right="1134" w:bottom="1440" w:left="1440" w:header="720" w:footer="890" w:gutter="0"/>
          <w:cols w:space="720" w:num="1"/>
          <w:titlePg/>
          <w:docGrid w:linePitch="360" w:charSpace="0"/>
        </w:sectPr>
      </w:pPr>
      <w:r>
        <w:rPr>
          <w:rFonts w:hint="eastAsia" w:ascii="宋体" w:hAnsi="宋体"/>
          <w:sz w:val="24"/>
          <w:szCs w:val="24"/>
        </w:rPr>
        <w:t>2、拟任项目总监、项目策划经理及项目主策的工作岗位资料需提供现任职单位在职证明（内容含工作岗位）。</w:t>
      </w: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101" w:name="_Toc88680720"/>
      <w:r>
        <w:rPr>
          <w:rFonts w:hint="eastAsia" w:ascii="宋体" w:hAnsi="宋体"/>
          <w:color w:val="0D0D0D" w:themeColor="text1" w:themeTint="F2"/>
          <w:sz w:val="48"/>
          <w:szCs w:val="36"/>
          <w14:textFill>
            <w14:solidFill>
              <w14:schemeClr w14:val="tx1">
                <w14:lumMod w14:val="95000"/>
                <w14:lumOff w14:val="5000"/>
              </w14:schemeClr>
            </w14:solidFill>
          </w14:textFill>
        </w:rPr>
        <w:t>第二章</w:t>
      </w:r>
      <w:bookmarkEnd w:id="101"/>
    </w:p>
    <w:p>
      <w:pPr>
        <w:ind w:firstLine="1575" w:firstLineChars="750"/>
        <w:rPr>
          <w:color w:val="0D0D0D" w:themeColor="text1" w:themeTint="F2"/>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asciiTheme="minorEastAsia" w:hAnsiTheme="minorEastAsia"/>
          <w:b/>
          <w:sz w:val="44"/>
          <w:szCs w:val="44"/>
        </w:rPr>
        <w:t>坪山区坑梓街道、宝安区松岗街道、光明区新湖街道三个项目物业定位研究服务</w:t>
      </w:r>
    </w:p>
    <w:p>
      <w:pPr>
        <w:jc w:val="center"/>
        <w:rPr>
          <w:color w:val="0D0D0D" w:themeColor="text1" w:themeTint="F2"/>
          <w:sz w:val="44"/>
          <w:szCs w:val="44"/>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r>
        <w:rPr>
          <w:rFonts w:hint="eastAsia" w:asciiTheme="minorEastAsia" w:hAnsiTheme="minorEastAsia"/>
          <w:bCs/>
          <w:sz w:val="36"/>
          <w:szCs w:val="36"/>
        </w:rPr>
        <w:t>坪山区坑梓街道、宝安区松岗街道、光明区新湖街道三个项目物业定位研究服务</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
          <w:color w:val="0D0D0D" w:themeColor="text1" w:themeTint="F2"/>
          <w:sz w:val="56"/>
          <w:szCs w:val="56"/>
          <w14:textFill>
            <w14:solidFill>
              <w14:schemeClr w14:val="tx1">
                <w14:lumMod w14:val="95000"/>
                <w14:lumOff w14:val="5000"/>
              </w14:schemeClr>
            </w14:solidFill>
          </w14:textFill>
        </w:rPr>
      </w:pPr>
      <w:r>
        <w:rPr>
          <w:rFonts w:hint="eastAsia" w:hAnsi="宋体"/>
          <w:b/>
          <w:sz w:val="56"/>
          <w:szCs w:val="56"/>
        </w:rPr>
        <w:t>【A包：</w:t>
      </w:r>
      <w:bookmarkStart w:id="102" w:name="_Hlk88677519"/>
      <w:r>
        <w:rPr>
          <w:rFonts w:hint="eastAsia" w:hAnsi="宋体"/>
          <w:b/>
          <w:color w:val="0D0D0D" w:themeColor="text1" w:themeTint="F2"/>
          <w:sz w:val="56"/>
          <w:szCs w:val="56"/>
          <w14:textFill>
            <w14:solidFill>
              <w14:schemeClr w14:val="tx1">
                <w14:lumMod w14:val="95000"/>
                <w14:lumOff w14:val="5000"/>
              </w14:schemeClr>
            </w14:solidFill>
          </w14:textFill>
        </w:rPr>
        <w:t>坪山区坑梓街道项目物业定位研究服务</w:t>
      </w:r>
      <w:bookmarkEnd w:id="102"/>
      <w:r>
        <w:rPr>
          <w:rFonts w:hint="eastAsia" w:hAnsi="宋体"/>
          <w:b/>
          <w:color w:val="0D0D0D" w:themeColor="text1" w:themeTint="F2"/>
          <w:sz w:val="56"/>
          <w:szCs w:val="56"/>
          <w14:textFill>
            <w14:solidFill>
              <w14:schemeClr w14:val="tx1">
                <w14:lumMod w14:val="95000"/>
                <w14:lumOff w14:val="5000"/>
              </w14:schemeClr>
            </w14:solidFill>
          </w14:textFill>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bookmarkStart w:id="103" w:name="_Toc518494154"/>
      <w:bookmarkStart w:id="104" w:name="_Toc19191481"/>
      <w:bookmarkStart w:id="105" w:name="_Toc276575955"/>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bookmarkEnd w:id="103"/>
      <w:bookmarkEnd w:id="104"/>
      <w:bookmarkEnd w:id="105"/>
    </w:p>
    <w:p>
      <w:pPr>
        <w:pStyle w:val="24"/>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napToGrid w:val="0"/>
        <w:spacing w:line="336" w:lineRule="auto"/>
        <w:rPr>
          <w:rFonts w:hAnsi="宋体"/>
          <w:sz w:val="24"/>
          <w:szCs w:val="24"/>
        </w:rPr>
      </w:pPr>
      <w:r>
        <w:rPr>
          <w:rFonts w:hAnsi="宋体"/>
          <w:sz w:val="24"/>
          <w:szCs w:val="24"/>
        </w:rPr>
        <w:t>致：深圳地铁置业集团有限公司</w:t>
      </w:r>
    </w:p>
    <w:p>
      <w:pPr>
        <w:adjustRightInd w:val="0"/>
        <w:snapToGrid w:val="0"/>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ascii="宋体" w:hAnsi="宋体"/>
          <w:sz w:val="24"/>
          <w:u w:val="single"/>
        </w:rPr>
        <w:t xml:space="preserve">                 </w:t>
      </w:r>
      <w:r>
        <w:rPr>
          <w:rFonts w:ascii="宋体" w:hAnsi="宋体"/>
          <w:sz w:val="24"/>
        </w:rPr>
        <w:t>）作为</w:t>
      </w:r>
      <w:r>
        <w:rPr>
          <w:rFonts w:hint="eastAsia" w:ascii="宋体" w:hAnsi="宋体"/>
          <w:b/>
          <w:bCs/>
          <w:sz w:val="24"/>
          <w:szCs w:val="24"/>
        </w:rPr>
        <w:t>坪山区坑梓街道项目物业定位研究服务</w:t>
      </w:r>
      <w:r>
        <w:rPr>
          <w:rFonts w:hint="eastAsia" w:ascii="宋体" w:hAnsi="宋体"/>
          <w:sz w:val="24"/>
        </w:rPr>
        <w:t>的报价，</w:t>
      </w:r>
      <w:r>
        <w:rPr>
          <w:rFonts w:ascii="宋体" w:hAnsi="宋体"/>
          <w:sz w:val="24"/>
        </w:rPr>
        <w:t>并按合同条件以及国家和地方有关规定的要求，承担并完成本项目的任务。</w:t>
      </w:r>
    </w:p>
    <w:p>
      <w:pPr>
        <w:adjustRightInd w:val="0"/>
        <w:snapToGrid w:val="0"/>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adjustRightInd w:val="0"/>
        <w:snapToGrid w:val="0"/>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adjustRightInd w:val="0"/>
        <w:snapToGrid w:val="0"/>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adjustRightInd w:val="0"/>
        <w:snapToGrid w:val="0"/>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adjustRightInd w:val="0"/>
        <w:snapToGrid w:val="0"/>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adjustRightInd w:val="0"/>
        <w:snapToGrid w:val="0"/>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adjustRightInd w:val="0"/>
        <w:snapToGrid w:val="0"/>
        <w:spacing w:line="336" w:lineRule="auto"/>
        <w:ind w:firstLine="480" w:firstLineChars="200"/>
        <w:rPr>
          <w:rFonts w:ascii="宋体" w:hAnsi="宋体"/>
          <w:sz w:val="24"/>
        </w:rPr>
      </w:pPr>
    </w:p>
    <w:p>
      <w:pPr>
        <w:adjustRightInd w:val="0"/>
        <w:snapToGrid w:val="0"/>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坪山区坑梓街道项目物业定位研究服务价格清单</w:t>
      </w:r>
    </w:p>
    <w:p>
      <w:pPr>
        <w:pStyle w:val="15"/>
        <w:spacing w:line="520" w:lineRule="exact"/>
        <w:ind w:firstLine="0"/>
        <w:jc w:val="center"/>
        <w:rPr>
          <w:rFonts w:ascii="宋体" w:hAnsi="宋体"/>
          <w:b/>
          <w:bCs/>
          <w:color w:val="0D0D0D" w:themeColor="text1" w:themeTint="F2"/>
          <w:sz w:val="24"/>
          <w:szCs w:val="24"/>
          <w14:textFill>
            <w14:solidFill>
              <w14:schemeClr w14:val="tx1">
                <w14:lumMod w14:val="95000"/>
                <w14:lumOff w14:val="5000"/>
              </w14:schemeClr>
            </w14:solidFill>
          </w14:textFill>
        </w:rPr>
      </w:pPr>
    </w:p>
    <w:tbl>
      <w:tblPr>
        <w:tblStyle w:val="47"/>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2"/>
        <w:gridCol w:w="6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费用类别</w:t>
            </w:r>
          </w:p>
        </w:tc>
        <w:tc>
          <w:tcPr>
            <w:tcW w:w="6286"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不含税总价</w:t>
            </w:r>
          </w:p>
          <w:p>
            <w:pPr>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（元）</w:t>
            </w:r>
          </w:p>
        </w:tc>
        <w:tc>
          <w:tcPr>
            <w:tcW w:w="6286" w:type="dxa"/>
            <w:vAlign w:val="center"/>
          </w:tcPr>
          <w:p>
            <w:pPr>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widowControl/>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税率（%）</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增值税税额（元）</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restart"/>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最终含税总价</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continue"/>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ascii="宋体" w:hAnsi="宋体"/>
                <w:bCs/>
                <w:color w:val="0D0D0D" w:themeColor="text1" w:themeTint="F2"/>
                <w:kern w:val="0"/>
                <w:sz w:val="24"/>
                <w:szCs w:val="24"/>
                <w14:textFill>
                  <w14:solidFill>
                    <w14:schemeClr w14:val="tx1">
                      <w14:lumMod w14:val="95000"/>
                      <w14:lumOff w14:val="5000"/>
                    </w14:schemeClr>
                  </w14:solidFill>
                </w14:textFill>
              </w:rPr>
              <w:t>大写</w:t>
            </w: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：人民币</w:t>
            </w:r>
            <w:r>
              <w:rPr>
                <w:rFonts w:ascii="宋体" w:hAnsi="宋体"/>
                <w:b/>
                <w:color w:val="0D0D0D" w:themeColor="text1" w:themeTint="F2"/>
                <w:kern w:val="0"/>
                <w:sz w:val="24"/>
                <w:szCs w:val="24"/>
                <w14:textFill>
                  <w14:solidFill>
                    <w14:schemeClr w14:val="tx1">
                      <w14:lumMod w14:val="95000"/>
                      <w14:lumOff w14:val="5000"/>
                    </w14:schemeClr>
                  </w14:solidFill>
                </w14:textFill>
              </w:rPr>
              <w:t xml:space="preserve">                    </w:t>
            </w:r>
            <w:r>
              <w:rPr>
                <w:rFonts w:ascii="宋体" w:hAnsi="宋体"/>
                <w:b/>
                <w:kern w:val="0"/>
                <w:sz w:val="24"/>
                <w:szCs w:val="24"/>
              </w:rPr>
              <w:t>元整</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asciiTheme="minorEastAsia" w:hAnsiTheme="minorEastAsia"/>
          <w:bCs/>
          <w:sz w:val="36"/>
          <w:szCs w:val="36"/>
        </w:rPr>
      </w:pPr>
    </w:p>
    <w:p>
      <w:pPr>
        <w:pStyle w:val="24"/>
        <w:spacing w:before="240" w:beforeLines="100" w:after="120" w:afterLines="50" w:line="480" w:lineRule="atLeast"/>
        <w:jc w:val="center"/>
        <w:rPr>
          <w:rFonts w:asciiTheme="minorEastAsia" w:hAnsiTheme="minorEastAsia"/>
          <w:bCs/>
          <w:sz w:val="36"/>
          <w:szCs w:val="36"/>
        </w:rPr>
      </w:pPr>
    </w:p>
    <w:p>
      <w:pPr>
        <w:pStyle w:val="24"/>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r>
        <w:rPr>
          <w:rFonts w:hint="eastAsia" w:asciiTheme="minorEastAsia" w:hAnsiTheme="minorEastAsia"/>
          <w:bCs/>
          <w:sz w:val="36"/>
          <w:szCs w:val="36"/>
        </w:rPr>
        <w:t>坪山区坑梓街道、宝安区松岗街道、光明区新湖街道三个项目物业定位研究服务</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
          <w:color w:val="0D0D0D" w:themeColor="text1" w:themeTint="F2"/>
          <w:sz w:val="56"/>
          <w:szCs w:val="56"/>
          <w14:textFill>
            <w14:solidFill>
              <w14:schemeClr w14:val="tx1">
                <w14:lumMod w14:val="95000"/>
                <w14:lumOff w14:val="5000"/>
              </w14:schemeClr>
            </w14:solidFill>
          </w14:textFill>
        </w:rPr>
      </w:pPr>
      <w:r>
        <w:rPr>
          <w:rFonts w:hint="eastAsia" w:hAnsi="宋体"/>
          <w:b/>
          <w:sz w:val="56"/>
          <w:szCs w:val="56"/>
        </w:rPr>
        <w:t>【</w:t>
      </w:r>
      <w:r>
        <w:rPr>
          <w:rFonts w:hAnsi="宋体"/>
          <w:b/>
          <w:sz w:val="56"/>
          <w:szCs w:val="56"/>
        </w:rPr>
        <w:t>B</w:t>
      </w:r>
      <w:r>
        <w:rPr>
          <w:rFonts w:hint="eastAsia" w:hAnsi="宋体"/>
          <w:b/>
          <w:sz w:val="56"/>
          <w:szCs w:val="56"/>
        </w:rPr>
        <w:t>包：</w:t>
      </w:r>
      <w:r>
        <w:rPr>
          <w:rFonts w:hint="eastAsia" w:hAnsi="宋体"/>
          <w:b/>
          <w:color w:val="0D0D0D" w:themeColor="text1" w:themeTint="F2"/>
          <w:sz w:val="56"/>
          <w:szCs w:val="56"/>
          <w14:textFill>
            <w14:solidFill>
              <w14:schemeClr w14:val="tx1">
                <w14:lumMod w14:val="95000"/>
                <w14:lumOff w14:val="5000"/>
              </w14:schemeClr>
            </w14:solidFill>
          </w14:textFill>
        </w:rPr>
        <w:t>宝安区松岗街道项目物业定位研究服务】</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p>
    <w:p>
      <w:pPr>
        <w:pStyle w:val="24"/>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pacing w:line="336" w:lineRule="auto"/>
        <w:rPr>
          <w:rFonts w:hAnsi="宋体"/>
          <w:sz w:val="24"/>
          <w:szCs w:val="24"/>
        </w:rPr>
      </w:pPr>
      <w:r>
        <w:rPr>
          <w:rFonts w:hAnsi="宋体"/>
          <w:sz w:val="24"/>
          <w:szCs w:val="24"/>
        </w:rPr>
        <w:t>致：深圳地铁置业集团有限公司</w:t>
      </w:r>
    </w:p>
    <w:p>
      <w:pPr>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ascii="宋体" w:hAnsi="宋体"/>
          <w:sz w:val="24"/>
          <w:u w:val="single"/>
        </w:rPr>
        <w:t xml:space="preserve">                  </w:t>
      </w:r>
      <w:r>
        <w:rPr>
          <w:rFonts w:ascii="宋体" w:hAnsi="宋体"/>
          <w:sz w:val="24"/>
        </w:rPr>
        <w:t>）作为</w:t>
      </w:r>
      <w:r>
        <w:rPr>
          <w:rFonts w:hint="eastAsia" w:ascii="宋体" w:hAnsi="宋体"/>
          <w:b/>
          <w:bCs/>
          <w:sz w:val="24"/>
          <w:szCs w:val="24"/>
        </w:rPr>
        <w:t>宝安区松岗街道项目物业定位研究服务</w:t>
      </w:r>
      <w:r>
        <w:rPr>
          <w:rFonts w:hint="eastAsia" w:ascii="宋体" w:hAnsi="宋体"/>
          <w:sz w:val="24"/>
        </w:rPr>
        <w:t>的报价，</w:t>
      </w:r>
      <w:r>
        <w:rPr>
          <w:rFonts w:ascii="宋体" w:hAnsi="宋体"/>
          <w:sz w:val="24"/>
        </w:rPr>
        <w:t>并按合同条件以及国家和地方有关规定的要求，承担并完成本项目的任务。</w:t>
      </w:r>
    </w:p>
    <w:p>
      <w:pPr>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spacing w:line="336" w:lineRule="auto"/>
        <w:ind w:firstLine="480" w:firstLineChars="200"/>
        <w:rPr>
          <w:rFonts w:ascii="宋体" w:hAnsi="宋体"/>
          <w:sz w:val="24"/>
        </w:rPr>
      </w:pPr>
    </w:p>
    <w:p>
      <w:pPr>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宝安区松岗街道项目物业定位研究服务价格清单</w:t>
      </w:r>
    </w:p>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7"/>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2"/>
        <w:gridCol w:w="6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费用类别</w:t>
            </w:r>
          </w:p>
        </w:tc>
        <w:tc>
          <w:tcPr>
            <w:tcW w:w="6286"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不含税总价</w:t>
            </w:r>
          </w:p>
          <w:p>
            <w:pPr>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（元）</w:t>
            </w:r>
          </w:p>
        </w:tc>
        <w:tc>
          <w:tcPr>
            <w:tcW w:w="6286" w:type="dxa"/>
            <w:vAlign w:val="center"/>
          </w:tcPr>
          <w:p>
            <w:pPr>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widowControl/>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税率（%）</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增值税税额（元）</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restart"/>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最终含税总价</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continue"/>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ascii="宋体" w:hAnsi="宋体"/>
                <w:bCs/>
                <w:color w:val="0D0D0D" w:themeColor="text1" w:themeTint="F2"/>
                <w:kern w:val="0"/>
                <w:sz w:val="24"/>
                <w:szCs w:val="24"/>
                <w14:textFill>
                  <w14:solidFill>
                    <w14:schemeClr w14:val="tx1">
                      <w14:lumMod w14:val="95000"/>
                      <w14:lumOff w14:val="5000"/>
                    </w14:schemeClr>
                  </w14:solidFill>
                </w14:textFill>
              </w:rPr>
              <w:t>大写</w:t>
            </w: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：人民币</w:t>
            </w:r>
            <w:r>
              <w:rPr>
                <w:rFonts w:ascii="宋体" w:hAnsi="宋体"/>
                <w:b/>
                <w:color w:val="0D0D0D" w:themeColor="text1" w:themeTint="F2"/>
                <w:kern w:val="0"/>
                <w:sz w:val="24"/>
                <w:szCs w:val="24"/>
                <w14:textFill>
                  <w14:solidFill>
                    <w14:schemeClr w14:val="tx1">
                      <w14:lumMod w14:val="95000"/>
                      <w14:lumOff w14:val="5000"/>
                    </w14:schemeClr>
                  </w14:solidFill>
                </w14:textFill>
              </w:rPr>
              <w:t xml:space="preserve">                    </w:t>
            </w:r>
            <w:r>
              <w:rPr>
                <w:rFonts w:ascii="宋体" w:hAnsi="宋体"/>
                <w:b/>
                <w:kern w:val="0"/>
                <w:sz w:val="24"/>
                <w:szCs w:val="24"/>
              </w:rPr>
              <w:t>元整</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asciiTheme="minorEastAsia" w:hAnsiTheme="minorEastAsia"/>
          <w:bCs/>
          <w:sz w:val="36"/>
          <w:szCs w:val="36"/>
        </w:rPr>
      </w:pPr>
    </w:p>
    <w:p>
      <w:pPr>
        <w:pStyle w:val="24"/>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r>
        <w:rPr>
          <w:rFonts w:hint="eastAsia" w:asciiTheme="minorEastAsia" w:hAnsiTheme="minorEastAsia"/>
          <w:bCs/>
          <w:sz w:val="36"/>
          <w:szCs w:val="36"/>
        </w:rPr>
        <w:t>坪山区坑梓街道、宝安区松岗街道、光明区新湖街道三个项目物业定位研究服务</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
          <w:color w:val="0D0D0D" w:themeColor="text1" w:themeTint="F2"/>
          <w:sz w:val="56"/>
          <w:szCs w:val="56"/>
          <w14:textFill>
            <w14:solidFill>
              <w14:schemeClr w14:val="tx1">
                <w14:lumMod w14:val="95000"/>
                <w14:lumOff w14:val="5000"/>
              </w14:schemeClr>
            </w14:solidFill>
          </w14:textFill>
        </w:rPr>
      </w:pPr>
      <w:r>
        <w:rPr>
          <w:rFonts w:hint="eastAsia" w:hAnsi="宋体"/>
          <w:b/>
          <w:sz w:val="56"/>
          <w:szCs w:val="56"/>
        </w:rPr>
        <w:t>【</w:t>
      </w:r>
      <w:r>
        <w:rPr>
          <w:rFonts w:hAnsi="宋体"/>
          <w:b/>
          <w:sz w:val="56"/>
          <w:szCs w:val="56"/>
        </w:rPr>
        <w:t>C</w:t>
      </w:r>
      <w:r>
        <w:rPr>
          <w:rFonts w:hint="eastAsia" w:hAnsi="宋体"/>
          <w:b/>
          <w:sz w:val="56"/>
          <w:szCs w:val="56"/>
        </w:rPr>
        <w:t>包：</w:t>
      </w:r>
      <w:r>
        <w:rPr>
          <w:rFonts w:hint="eastAsia" w:hAnsi="宋体"/>
          <w:b/>
          <w:color w:val="0D0D0D" w:themeColor="text1" w:themeTint="F2"/>
          <w:sz w:val="56"/>
          <w:szCs w:val="56"/>
          <w14:textFill>
            <w14:solidFill>
              <w14:schemeClr w14:val="tx1">
                <w14:lumMod w14:val="95000"/>
                <w14:lumOff w14:val="5000"/>
              </w14:schemeClr>
            </w14:solidFill>
          </w14:textFill>
        </w:rPr>
        <w:t>光明区新湖街道项目物业定位研究服务】</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napToGrid w:val="0"/>
        <w:spacing w:line="36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p>
    <w:p>
      <w:pPr>
        <w:pStyle w:val="24"/>
        <w:snapToGrid w:val="0"/>
        <w:spacing w:line="360"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napToGrid w:val="0"/>
        <w:spacing w:line="336" w:lineRule="auto"/>
        <w:rPr>
          <w:rFonts w:hAnsi="宋体"/>
          <w:sz w:val="24"/>
          <w:szCs w:val="24"/>
        </w:rPr>
      </w:pPr>
      <w:r>
        <w:rPr>
          <w:rFonts w:hAnsi="宋体"/>
          <w:sz w:val="24"/>
          <w:szCs w:val="24"/>
        </w:rPr>
        <w:t>致：深圳地铁置业集团有限公司</w:t>
      </w:r>
    </w:p>
    <w:p>
      <w:pPr>
        <w:adjustRightInd w:val="0"/>
        <w:snapToGrid w:val="0"/>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hint="eastAsia" w:ascii="宋体" w:hAnsi="宋体"/>
          <w:sz w:val="24"/>
        </w:rPr>
        <w:t>：</w:t>
      </w:r>
      <w:r>
        <w:rPr>
          <w:rFonts w:ascii="宋体" w:hAnsi="宋体"/>
          <w:sz w:val="24"/>
          <w:u w:val="single"/>
        </w:rPr>
        <w:t xml:space="preserve">                 </w:t>
      </w:r>
      <w:r>
        <w:rPr>
          <w:rFonts w:ascii="宋体" w:hAnsi="宋体"/>
          <w:sz w:val="24"/>
        </w:rPr>
        <w:t>）作为</w:t>
      </w:r>
      <w:r>
        <w:rPr>
          <w:rFonts w:hint="eastAsia" w:ascii="宋体" w:hAnsi="宋体"/>
          <w:b/>
          <w:bCs/>
          <w:sz w:val="24"/>
          <w:szCs w:val="24"/>
        </w:rPr>
        <w:t>光明区新湖街道项目物业定位研究服务</w:t>
      </w:r>
      <w:r>
        <w:rPr>
          <w:rFonts w:hint="eastAsia" w:ascii="宋体" w:hAnsi="宋体"/>
          <w:sz w:val="24"/>
        </w:rPr>
        <w:t>的报价，</w:t>
      </w:r>
      <w:r>
        <w:rPr>
          <w:rFonts w:ascii="宋体" w:hAnsi="宋体"/>
          <w:sz w:val="24"/>
        </w:rPr>
        <w:t>并按合同条件以及国家和地方有关规定的要求，承担并完成本项目的任务。</w:t>
      </w:r>
    </w:p>
    <w:p>
      <w:pPr>
        <w:adjustRightInd w:val="0"/>
        <w:snapToGrid w:val="0"/>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adjustRightInd w:val="0"/>
        <w:snapToGrid w:val="0"/>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adjustRightInd w:val="0"/>
        <w:snapToGrid w:val="0"/>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adjustRightInd w:val="0"/>
        <w:snapToGrid w:val="0"/>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adjustRightInd w:val="0"/>
        <w:snapToGrid w:val="0"/>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adjustRightInd w:val="0"/>
        <w:snapToGrid w:val="0"/>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adjustRightInd w:val="0"/>
        <w:snapToGrid w:val="0"/>
        <w:spacing w:line="336" w:lineRule="auto"/>
        <w:ind w:firstLine="480" w:firstLineChars="200"/>
        <w:rPr>
          <w:rFonts w:ascii="宋体" w:hAnsi="宋体"/>
          <w:sz w:val="24"/>
        </w:rPr>
      </w:pPr>
    </w:p>
    <w:p>
      <w:pPr>
        <w:adjustRightInd w:val="0"/>
        <w:snapToGrid w:val="0"/>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光明区新湖街道项目物业定位研究服务价格清单</w:t>
      </w:r>
    </w:p>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7"/>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2"/>
        <w:gridCol w:w="6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费用类别</w:t>
            </w:r>
          </w:p>
        </w:tc>
        <w:tc>
          <w:tcPr>
            <w:tcW w:w="6286"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不含税总价</w:t>
            </w:r>
          </w:p>
          <w:p>
            <w:pPr>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（元）</w:t>
            </w:r>
          </w:p>
        </w:tc>
        <w:tc>
          <w:tcPr>
            <w:tcW w:w="6286" w:type="dxa"/>
            <w:vAlign w:val="center"/>
          </w:tcPr>
          <w:p>
            <w:pPr>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widowControl/>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税率（%）</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增值税税额（元）</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restart"/>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最终含税总价</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continue"/>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ascii="宋体" w:hAnsi="宋体"/>
                <w:bCs/>
                <w:color w:val="0D0D0D" w:themeColor="text1" w:themeTint="F2"/>
                <w:kern w:val="0"/>
                <w:sz w:val="24"/>
                <w:szCs w:val="24"/>
                <w14:textFill>
                  <w14:solidFill>
                    <w14:schemeClr w14:val="tx1">
                      <w14:lumMod w14:val="95000"/>
                      <w14:lumOff w14:val="5000"/>
                    </w14:schemeClr>
                  </w14:solidFill>
                </w14:textFill>
              </w:rPr>
              <w:t>大写</w:t>
            </w: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：人民币</w:t>
            </w:r>
            <w:r>
              <w:rPr>
                <w:rFonts w:ascii="宋体" w:hAnsi="宋体"/>
                <w:b/>
                <w:color w:val="0D0D0D" w:themeColor="text1" w:themeTint="F2"/>
                <w:kern w:val="0"/>
                <w:sz w:val="24"/>
                <w:szCs w:val="24"/>
                <w14:textFill>
                  <w14:solidFill>
                    <w14:schemeClr w14:val="tx1">
                      <w14:lumMod w14:val="95000"/>
                      <w14:lumOff w14:val="5000"/>
                    </w14:schemeClr>
                  </w14:solidFill>
                </w14:textFill>
              </w:rPr>
              <w:t xml:space="preserve">                    </w:t>
            </w:r>
            <w:r>
              <w:rPr>
                <w:rFonts w:ascii="宋体" w:hAnsi="宋体"/>
                <w:b/>
                <w:kern w:val="0"/>
                <w:sz w:val="24"/>
                <w:szCs w:val="24"/>
              </w:rPr>
              <w:t>元整</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r>
        <w:rPr>
          <w:rFonts w:ascii="宋体" w:hAnsi="宋体"/>
          <w:color w:val="0D0D0D" w:themeColor="text1" w:themeTint="F2"/>
          <w:sz w:val="44"/>
          <w:szCs w:val="44"/>
          <w14:textFill>
            <w14:solidFill>
              <w14:schemeClr w14:val="tx1">
                <w14:lumMod w14:val="95000"/>
                <w14:lumOff w14:val="5000"/>
              </w14:schemeClr>
            </w14:solidFill>
          </w14:textFill>
        </w:rPr>
        <w:br w:type="page"/>
      </w:r>
      <w:bookmarkEnd w:id="81"/>
      <w:bookmarkEnd w:id="82"/>
      <w:bookmarkEnd w:id="83"/>
      <w:bookmarkEnd w:id="84"/>
      <w:bookmarkEnd w:id="85"/>
      <w:bookmarkEnd w:id="86"/>
      <w:bookmarkEnd w:id="95"/>
      <w:bookmarkStart w:id="106" w:name="_Toc88680721"/>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三篇  合同</w:t>
      </w:r>
      <w:bookmarkEnd w:id="106"/>
    </w:p>
    <w:p>
      <w:pPr>
        <w:rPr>
          <w:rFonts w:ascii="宋体" w:hAnsi="宋体"/>
          <w:b/>
          <w:color w:val="0D0D0D" w:themeColor="text1" w:themeTint="F2"/>
          <w:szCs w:val="21"/>
          <w14:textFill>
            <w14:solidFill>
              <w14:schemeClr w14:val="tx1">
                <w14:lumMod w14:val="95000"/>
                <w14:lumOff w14:val="5000"/>
              </w14:schemeClr>
            </w14:solidFill>
          </w14:textFill>
        </w:rPr>
      </w:pPr>
    </w:p>
    <w:p>
      <w:pPr>
        <w:jc w:val="center"/>
        <w:outlineLvl w:val="0"/>
        <w:rPr>
          <w:rFonts w:ascii="宋体" w:hAnsi="宋体"/>
          <w:b/>
          <w:color w:val="000000"/>
          <w:sz w:val="24"/>
          <w:szCs w:val="24"/>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pStyle w:val="24"/>
        <w:spacing w:line="360" w:lineRule="auto"/>
        <w:jc w:val="center"/>
        <w:rPr>
          <w:rFonts w:hAnsi="宋体"/>
          <w:b/>
          <w:spacing w:val="10"/>
          <w:sz w:val="48"/>
          <w:szCs w:val="48"/>
        </w:rPr>
      </w:pPr>
      <w:r>
        <w:rPr>
          <w:rFonts w:hint="eastAsia" w:hAnsi="宋体"/>
          <w:b/>
          <w:spacing w:val="10"/>
          <w:sz w:val="48"/>
          <w:szCs w:val="48"/>
        </w:rPr>
        <w:t>XXX项目物业定位研究服务</w:t>
      </w:r>
      <w:r>
        <w:rPr>
          <w:rFonts w:hAnsi="宋体"/>
          <w:b/>
          <w:spacing w:val="10"/>
          <w:sz w:val="48"/>
          <w:szCs w:val="48"/>
        </w:rPr>
        <w:t>合同</w:t>
      </w:r>
    </w:p>
    <w:p>
      <w:pPr>
        <w:spacing w:line="360" w:lineRule="auto"/>
        <w:jc w:val="center"/>
        <w:rPr>
          <w:rFonts w:ascii="黑体" w:hAnsi="Courier New" w:eastAsia="黑体"/>
          <w:b/>
          <w:bCs/>
          <w:spacing w:val="36"/>
          <w:sz w:val="44"/>
          <w:szCs w:val="44"/>
          <w:u w:val="single"/>
        </w:rPr>
      </w:pPr>
    </w:p>
    <w:p>
      <w:pPr>
        <w:spacing w:line="360" w:lineRule="auto"/>
        <w:jc w:val="center"/>
        <w:rPr>
          <w:rFonts w:ascii="黑体" w:hAnsi="Courier New" w:eastAsia="黑体"/>
          <w:b/>
          <w:bCs/>
          <w:spacing w:val="36"/>
          <w:sz w:val="44"/>
          <w:szCs w:val="44"/>
          <w:u w:val="single"/>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sz w:val="30"/>
          <w:szCs w:val="30"/>
        </w:rPr>
      </w:pPr>
    </w:p>
    <w:p>
      <w:pPr>
        <w:spacing w:line="360" w:lineRule="auto"/>
        <w:rPr>
          <w:sz w:val="30"/>
          <w:szCs w:val="30"/>
        </w:rPr>
      </w:pPr>
    </w:p>
    <w:p>
      <w:pPr>
        <w:spacing w:line="360" w:lineRule="auto"/>
        <w:rPr>
          <w:rFonts w:ascii="宋体" w:hAnsi="宋体"/>
          <w:b/>
          <w:spacing w:val="10"/>
          <w:sz w:val="30"/>
          <w:szCs w:val="30"/>
        </w:rPr>
      </w:pPr>
      <w:r>
        <w:rPr>
          <w:rFonts w:hint="eastAsia" w:ascii="宋体" w:hAnsi="宋体"/>
          <w:b/>
          <w:spacing w:val="10"/>
          <w:sz w:val="30"/>
          <w:szCs w:val="30"/>
        </w:rPr>
        <w:t xml:space="preserve">  甲   方：</w:t>
      </w:r>
    </w:p>
    <w:p>
      <w:pPr>
        <w:spacing w:line="360" w:lineRule="auto"/>
        <w:jc w:val="center"/>
        <w:rPr>
          <w:rFonts w:ascii="宋体" w:hAnsi="宋体"/>
          <w:b/>
          <w:spacing w:val="10"/>
          <w:sz w:val="30"/>
          <w:szCs w:val="30"/>
        </w:rPr>
      </w:pPr>
    </w:p>
    <w:p>
      <w:pPr>
        <w:spacing w:line="360" w:lineRule="auto"/>
        <w:ind w:firstLine="321" w:firstLineChars="100"/>
        <w:jc w:val="left"/>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 xml:space="preserve">方： </w:t>
      </w:r>
    </w:p>
    <w:p>
      <w:pPr>
        <w:spacing w:line="360" w:lineRule="auto"/>
        <w:ind w:firstLine="1911" w:firstLineChars="595"/>
        <w:jc w:val="left"/>
        <w:rPr>
          <w:rFonts w:ascii="宋体" w:hAnsi="宋体"/>
          <w:b/>
          <w:spacing w:val="10"/>
          <w:sz w:val="30"/>
          <w:szCs w:val="30"/>
        </w:rPr>
      </w:pPr>
      <w:r>
        <w:rPr>
          <w:rFonts w:hint="eastAsia" w:ascii="宋体" w:hAnsi="宋体"/>
          <w:b/>
          <w:spacing w:val="10"/>
          <w:sz w:val="30"/>
          <w:szCs w:val="30"/>
        </w:rPr>
        <w:t xml:space="preserve"> </w:t>
      </w:r>
      <w:r>
        <w:rPr>
          <w:rFonts w:ascii="宋体" w:hAnsi="宋体"/>
          <w:b/>
          <w:spacing w:val="10"/>
          <w:sz w:val="30"/>
          <w:szCs w:val="30"/>
        </w:rPr>
        <w:t xml:space="preserve">     </w:t>
      </w:r>
      <w:r>
        <w:rPr>
          <w:rFonts w:hint="eastAsia" w:ascii="黑体" w:hAnsi="黑体" w:eastAsia="黑体"/>
          <w:sz w:val="44"/>
          <w:szCs w:val="44"/>
        </w:rPr>
        <w:t>第五章  合同</w:t>
      </w:r>
    </w:p>
    <w:p>
      <w:pPr>
        <w:spacing w:line="360" w:lineRule="auto"/>
        <w:rPr>
          <w:rFonts w:ascii="宋体" w:hAnsi="宋体"/>
          <w:sz w:val="24"/>
          <w:szCs w:val="24"/>
        </w:rPr>
      </w:pPr>
    </w:p>
    <w:p>
      <w:pPr>
        <w:spacing w:line="360" w:lineRule="auto"/>
        <w:ind w:firstLine="482" w:firstLineChars="200"/>
        <w:rPr>
          <w:rFonts w:ascii="宋体" w:hAnsi="宋体"/>
          <w:b/>
          <w:sz w:val="24"/>
          <w:szCs w:val="24"/>
        </w:rPr>
      </w:pPr>
      <w:bookmarkStart w:id="107" w:name="_Toc389833583"/>
      <w:r>
        <w:rPr>
          <w:rFonts w:hint="eastAsia" w:ascii="宋体" w:hAnsi="宋体"/>
          <w:b/>
          <w:sz w:val="24"/>
          <w:szCs w:val="24"/>
        </w:rPr>
        <w:t xml:space="preserve">甲方： </w:t>
      </w:r>
      <w:r>
        <w:rPr>
          <w:rFonts w:ascii="宋体" w:hAnsi="宋体"/>
          <w:b/>
          <w:sz w:val="24"/>
          <w:szCs w:val="24"/>
        </w:rPr>
        <w:t xml:space="preserve">                       </w:t>
      </w:r>
      <w:r>
        <w:rPr>
          <w:rFonts w:hint="eastAsia" w:ascii="宋体" w:hAnsi="宋体"/>
          <w:b/>
          <w:sz w:val="24"/>
          <w:szCs w:val="24"/>
        </w:rPr>
        <w:t>（简称“甲方”）</w:t>
      </w:r>
    </w:p>
    <w:p>
      <w:pPr>
        <w:spacing w:line="360" w:lineRule="auto"/>
        <w:ind w:firstLine="482" w:firstLineChars="200"/>
        <w:rPr>
          <w:rFonts w:ascii="宋体" w:hAnsi="宋体"/>
          <w:b/>
          <w:sz w:val="24"/>
          <w:szCs w:val="24"/>
        </w:rPr>
      </w:pPr>
      <w:r>
        <w:rPr>
          <w:rFonts w:hint="eastAsia" w:ascii="宋体" w:hAnsi="宋体"/>
          <w:b/>
          <w:sz w:val="24"/>
          <w:szCs w:val="24"/>
        </w:rPr>
        <w:t xml:space="preserve">乙方：     </w:t>
      </w:r>
      <w:r>
        <w:rPr>
          <w:rFonts w:ascii="宋体" w:hAnsi="宋体"/>
          <w:b/>
          <w:sz w:val="24"/>
          <w:szCs w:val="24"/>
        </w:rPr>
        <w:t xml:space="preserve">                  </w:t>
      </w:r>
      <w:r>
        <w:rPr>
          <w:rFonts w:hint="eastAsia" w:ascii="宋体" w:hAnsi="宋体"/>
          <w:b/>
          <w:sz w:val="24"/>
          <w:szCs w:val="24"/>
        </w:rPr>
        <w:t xml:space="preserve"> （简称“乙方”）</w:t>
      </w:r>
      <w:r>
        <w:rPr>
          <w:rFonts w:ascii="宋体" w:hAnsi="宋体"/>
          <w:b/>
          <w:sz w:val="24"/>
          <w:szCs w:val="24"/>
        </w:rPr>
        <w:t xml:space="preserve"> </w:t>
      </w:r>
    </w:p>
    <w:p>
      <w:pPr>
        <w:pStyle w:val="24"/>
        <w:spacing w:line="360" w:lineRule="auto"/>
        <w:ind w:firstLine="480" w:firstLineChars="200"/>
        <w:rPr>
          <w:rFonts w:hAnsi="宋体"/>
          <w:sz w:val="24"/>
          <w:szCs w:val="24"/>
        </w:rPr>
      </w:pPr>
      <w:r>
        <w:rPr>
          <w:rFonts w:hint="eastAsia" w:hAnsi="宋体"/>
          <w:sz w:val="24"/>
          <w:szCs w:val="24"/>
        </w:rPr>
        <w:t>经比选，甲方确定乙方为XXX项目物业定位研究服务单位。乙方已向甲方阐述其拥有承担上述工作所要求的专业技术、人员等资源，并同意按照本合同约定承担该项工作。为明确双方在履约过程中的权利和义务，根据《中华人民共和国民法典》及相关法律、法规的规定，双方本着合法、自愿、诚实信用和友好合作的原则，就甲方委托乙方提供前述服务，达成如下协议：</w:t>
      </w:r>
      <w:bookmarkEnd w:id="107"/>
      <w:bookmarkStart w:id="108" w:name="_Toc389833584"/>
      <w:bookmarkStart w:id="109" w:name="_Toc29995574"/>
    </w:p>
    <w:p>
      <w:pPr>
        <w:pStyle w:val="24"/>
        <w:spacing w:line="360" w:lineRule="auto"/>
        <w:ind w:firstLine="482" w:firstLineChars="200"/>
        <w:rPr>
          <w:rFonts w:hAnsi="宋体"/>
          <w:sz w:val="24"/>
          <w:szCs w:val="24"/>
        </w:rPr>
      </w:pPr>
      <w:r>
        <w:rPr>
          <w:rFonts w:hint="eastAsia" w:hAnsi="宋体"/>
          <w:b/>
          <w:bCs/>
          <w:sz w:val="24"/>
          <w:szCs w:val="24"/>
        </w:rPr>
        <w:t>一、委托范围及要求</w:t>
      </w:r>
      <w:bookmarkEnd w:id="108"/>
      <w:bookmarkEnd w:id="109"/>
    </w:p>
    <w:p>
      <w:pPr>
        <w:pStyle w:val="24"/>
        <w:spacing w:line="360" w:lineRule="auto"/>
        <w:ind w:firstLine="480" w:firstLineChars="200"/>
        <w:rPr>
          <w:rFonts w:hAnsi="宋体"/>
          <w:sz w:val="24"/>
          <w:szCs w:val="24"/>
        </w:rPr>
      </w:pPr>
      <w:r>
        <w:rPr>
          <w:rFonts w:hint="eastAsia" w:hAnsi="宋体"/>
          <w:sz w:val="24"/>
          <w:szCs w:val="24"/>
        </w:rPr>
        <w:t>（一）委托范围：</w:t>
      </w:r>
      <w:r>
        <w:rPr>
          <w:rFonts w:hint="eastAsia" w:hAnsi="宋体"/>
          <w:sz w:val="24"/>
          <w:szCs w:val="24"/>
          <w:u w:val="single"/>
        </w:rPr>
        <w:t xml:space="preserve"> XXX项目物业定位研究服务 </w:t>
      </w:r>
      <w:r>
        <w:rPr>
          <w:rFonts w:hAnsi="宋体"/>
          <w:sz w:val="24"/>
          <w:szCs w:val="24"/>
          <w:u w:val="single"/>
        </w:rPr>
        <w:t xml:space="preserve"> </w:t>
      </w:r>
    </w:p>
    <w:p>
      <w:pPr>
        <w:pStyle w:val="24"/>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XX项目位于XX区XX社区，位于XX站的XX，XXXXXXXXXXX。项目占地</w:t>
      </w:r>
      <w:r>
        <w:rPr>
          <w:rFonts w:hAnsi="宋体"/>
          <w:bCs/>
          <w:color w:val="0D0D0D" w:themeColor="text1" w:themeTint="F2"/>
          <w:sz w:val="24"/>
          <w:szCs w:val="22"/>
          <w14:textFill>
            <w14:solidFill>
              <w14:schemeClr w14:val="tx1">
                <w14:lumMod w14:val="95000"/>
                <w14:lumOff w14:val="5000"/>
              </w14:schemeClr>
            </w14:solidFill>
          </w14:textFill>
        </w:rPr>
        <w:t>XX</w:t>
      </w:r>
      <w:r>
        <w:rPr>
          <w:rFonts w:hint="eastAsia" w:hAnsi="宋体"/>
          <w:bCs/>
          <w:color w:val="0D0D0D" w:themeColor="text1" w:themeTint="F2"/>
          <w:sz w:val="24"/>
          <w:szCs w:val="22"/>
          <w14:textFill>
            <w14:solidFill>
              <w14:schemeClr w14:val="tx1">
                <w14:lumMod w14:val="95000"/>
                <w14:lumOff w14:val="5000"/>
              </w14:schemeClr>
            </w14:solidFill>
          </w14:textFill>
        </w:rPr>
        <w:t>万，建面约</w:t>
      </w:r>
      <w:r>
        <w:rPr>
          <w:rFonts w:hAnsi="宋体"/>
          <w:bCs/>
          <w:color w:val="0D0D0D" w:themeColor="text1" w:themeTint="F2"/>
          <w:sz w:val="24"/>
          <w:szCs w:val="22"/>
          <w14:textFill>
            <w14:solidFill>
              <w14:schemeClr w14:val="tx1">
                <w14:lumMod w14:val="95000"/>
                <w14:lumOff w14:val="5000"/>
              </w14:schemeClr>
            </w14:solidFill>
          </w14:textFill>
        </w:rPr>
        <w:t>XX</w:t>
      </w:r>
      <w:r>
        <w:rPr>
          <w:rFonts w:hint="eastAsia" w:hAnsi="宋体"/>
          <w:bCs/>
          <w:color w:val="0D0D0D" w:themeColor="text1" w:themeTint="F2"/>
          <w:sz w:val="24"/>
          <w:szCs w:val="22"/>
          <w14:textFill>
            <w14:solidFill>
              <w14:schemeClr w14:val="tx1">
                <w14:lumMod w14:val="95000"/>
                <w14:lumOff w14:val="5000"/>
              </w14:schemeClr>
            </w14:solidFill>
          </w14:textFill>
        </w:rPr>
        <w:t>万，业态以XX、XX为主。</w:t>
      </w:r>
    </w:p>
    <w:p>
      <w:pPr>
        <w:pStyle w:val="24"/>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结合项目需求开展地块研究及定位工作并配合跟进服务，具体内容包括但不限于：</w:t>
      </w:r>
    </w:p>
    <w:p>
      <w:pPr>
        <w:spacing w:line="360" w:lineRule="auto"/>
        <w:ind w:firstLine="480" w:firstLineChars="200"/>
        <w:rPr>
          <w:rFonts w:ascii="宋体" w:hAnsi="宋体"/>
          <w:bCs/>
          <w:sz w:val="24"/>
          <w:szCs w:val="24"/>
        </w:rPr>
      </w:pPr>
      <w:r>
        <w:rPr>
          <w:rFonts w:hint="eastAsia" w:ascii="宋体" w:hAnsi="宋体"/>
          <w:bCs/>
          <w:sz w:val="24"/>
          <w:szCs w:val="24"/>
        </w:rPr>
        <w:t>1</w:t>
      </w:r>
      <w:r>
        <w:rPr>
          <w:rFonts w:ascii="宋体" w:hAnsi="宋体"/>
          <w:bCs/>
          <w:sz w:val="24"/>
          <w:szCs w:val="24"/>
        </w:rPr>
        <w:t>.</w:t>
      </w:r>
      <w:r>
        <w:rPr>
          <w:rFonts w:hint="eastAsia" w:ascii="宋体" w:hAnsi="宋体"/>
          <w:bCs/>
          <w:sz w:val="24"/>
          <w:szCs w:val="24"/>
        </w:rPr>
        <w:t>开展项目定位研究工作，撰写项目整体定位报告，报告内容包括但不限以下内容：</w:t>
      </w:r>
    </w:p>
    <w:p>
      <w:pPr>
        <w:spacing w:line="360" w:lineRule="auto"/>
        <w:ind w:firstLine="480" w:firstLineChars="200"/>
        <w:rPr>
          <w:rFonts w:ascii="宋体" w:hAnsi="宋体"/>
          <w:bCs/>
          <w:sz w:val="24"/>
          <w:szCs w:val="24"/>
        </w:rPr>
      </w:pPr>
      <w:r>
        <w:rPr>
          <w:rFonts w:hint="eastAsia" w:ascii="宋体" w:hAnsi="宋体"/>
          <w:bCs/>
          <w:sz w:val="24"/>
          <w:szCs w:val="24"/>
        </w:rPr>
        <w:t>1</w:t>
      </w:r>
      <w:r>
        <w:rPr>
          <w:rFonts w:ascii="宋体" w:hAnsi="宋体"/>
          <w:bCs/>
          <w:sz w:val="24"/>
          <w:szCs w:val="24"/>
        </w:rPr>
        <w:t>.1</w:t>
      </w:r>
      <w:r>
        <w:rPr>
          <w:rFonts w:hint="eastAsia" w:ascii="宋体" w:hAnsi="宋体"/>
          <w:bCs/>
          <w:sz w:val="24"/>
          <w:szCs w:val="24"/>
        </w:rPr>
        <w:t>项目地块分析：包括地块区域分析、地块整体分析、土地价值的定性定量评估、地块优劣势分析、项目价值初判。</w:t>
      </w:r>
    </w:p>
    <w:p>
      <w:pPr>
        <w:spacing w:line="360" w:lineRule="auto"/>
        <w:ind w:firstLine="480" w:firstLineChars="200"/>
        <w:rPr>
          <w:rFonts w:ascii="宋体" w:hAnsi="宋体"/>
          <w:bCs/>
          <w:sz w:val="24"/>
          <w:szCs w:val="24"/>
        </w:rPr>
      </w:pPr>
      <w:r>
        <w:rPr>
          <w:rFonts w:ascii="宋体" w:hAnsi="宋体"/>
          <w:bCs/>
          <w:sz w:val="24"/>
          <w:szCs w:val="24"/>
        </w:rPr>
        <w:t>1.2</w:t>
      </w:r>
      <w:r>
        <w:rPr>
          <w:rFonts w:hint="eastAsia" w:ascii="宋体" w:hAnsi="宋体"/>
          <w:bCs/>
          <w:sz w:val="24"/>
          <w:szCs w:val="24"/>
        </w:rPr>
        <w:t>.市场调研</w:t>
      </w:r>
    </w:p>
    <w:p>
      <w:pPr>
        <w:spacing w:line="360" w:lineRule="auto"/>
        <w:ind w:firstLine="480" w:firstLineChars="200"/>
        <w:rPr>
          <w:rFonts w:ascii="宋体" w:hAnsi="宋体"/>
          <w:bCs/>
          <w:sz w:val="24"/>
          <w:szCs w:val="24"/>
        </w:rPr>
      </w:pPr>
      <w:r>
        <w:rPr>
          <w:rFonts w:hint="eastAsia" w:ascii="宋体" w:hAnsi="宋体"/>
          <w:bCs/>
          <w:sz w:val="24"/>
          <w:szCs w:val="24"/>
        </w:rPr>
        <w:t>（1）区域市场研究：包括区域发展现状结论、区域发展趋势研判、项目在区域中的占位及功能初步评估、市场调研结论。</w:t>
      </w:r>
    </w:p>
    <w:p>
      <w:pPr>
        <w:spacing w:line="360" w:lineRule="auto"/>
        <w:ind w:firstLine="480" w:firstLineChars="200"/>
        <w:rPr>
          <w:rFonts w:ascii="宋体" w:hAnsi="宋体"/>
          <w:bCs/>
          <w:sz w:val="24"/>
          <w:szCs w:val="24"/>
        </w:rPr>
      </w:pPr>
      <w:r>
        <w:rPr>
          <w:rFonts w:hint="eastAsia" w:ascii="宋体" w:hAnsi="宋体"/>
          <w:bCs/>
          <w:sz w:val="24"/>
          <w:szCs w:val="24"/>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pPr>
        <w:spacing w:line="360" w:lineRule="auto"/>
        <w:ind w:firstLine="480" w:firstLineChars="200"/>
        <w:rPr>
          <w:rFonts w:ascii="宋体" w:hAnsi="宋体"/>
          <w:bCs/>
          <w:sz w:val="24"/>
          <w:szCs w:val="24"/>
        </w:rPr>
      </w:pPr>
      <w:r>
        <w:rPr>
          <w:rFonts w:ascii="宋体" w:hAnsi="宋体"/>
          <w:bCs/>
          <w:sz w:val="24"/>
          <w:szCs w:val="24"/>
        </w:rPr>
        <w:t>1.3</w:t>
      </w:r>
      <w:r>
        <w:rPr>
          <w:rFonts w:hint="eastAsia" w:ascii="宋体" w:hAnsi="宋体"/>
          <w:bCs/>
          <w:sz w:val="24"/>
          <w:szCs w:val="24"/>
        </w:rPr>
        <w:t>本项目物业发展方向研判：包括本项目地块核心优劣势提炼、本项目地块面临的核心问题、本项目内外部资源整合分析、本项目物业发展方向建议、本项目开发目标分解、本项目发展战略确定、分项物业定量分析。</w:t>
      </w:r>
    </w:p>
    <w:p>
      <w:pPr>
        <w:spacing w:line="360" w:lineRule="auto"/>
        <w:ind w:firstLine="480" w:firstLineChars="200"/>
        <w:rPr>
          <w:rFonts w:ascii="宋体" w:hAnsi="宋体"/>
          <w:bCs/>
          <w:sz w:val="24"/>
          <w:szCs w:val="24"/>
        </w:rPr>
      </w:pPr>
      <w:r>
        <w:rPr>
          <w:rFonts w:ascii="宋体" w:hAnsi="宋体"/>
          <w:bCs/>
          <w:sz w:val="24"/>
          <w:szCs w:val="24"/>
        </w:rPr>
        <w:t>1.4</w:t>
      </w:r>
      <w:r>
        <w:rPr>
          <w:rFonts w:hint="eastAsia" w:ascii="宋体" w:hAnsi="宋体"/>
          <w:bCs/>
          <w:sz w:val="24"/>
          <w:szCs w:val="24"/>
        </w:rPr>
        <w:t>本项目整体定位</w:t>
      </w:r>
    </w:p>
    <w:p>
      <w:pPr>
        <w:spacing w:line="360" w:lineRule="auto"/>
        <w:ind w:firstLine="480" w:firstLineChars="200"/>
        <w:rPr>
          <w:rFonts w:ascii="宋体" w:hAnsi="宋体"/>
          <w:bCs/>
          <w:sz w:val="24"/>
          <w:szCs w:val="24"/>
        </w:rPr>
      </w:pPr>
      <w:r>
        <w:rPr>
          <w:rFonts w:hint="eastAsia" w:ascii="宋体" w:hAnsi="宋体"/>
          <w:bCs/>
          <w:sz w:val="24"/>
          <w:szCs w:val="24"/>
        </w:rPr>
        <w:t>（1）本项目整体物业定位、整体形象定位、功能定位、档次定位。</w:t>
      </w:r>
    </w:p>
    <w:p>
      <w:pPr>
        <w:spacing w:line="360" w:lineRule="auto"/>
        <w:ind w:firstLine="480" w:firstLineChars="200"/>
        <w:rPr>
          <w:rFonts w:ascii="宋体" w:hAnsi="宋体"/>
          <w:bCs/>
          <w:sz w:val="24"/>
          <w:szCs w:val="24"/>
        </w:rPr>
      </w:pPr>
      <w:r>
        <w:rPr>
          <w:rFonts w:hint="eastAsia" w:ascii="宋体" w:hAnsi="宋体"/>
          <w:bCs/>
          <w:sz w:val="24"/>
          <w:szCs w:val="24"/>
        </w:rPr>
        <w:t>（2）分物业属性定位、形象定位、档次定位、客户定位、产品定位、业态定位等。</w:t>
      </w:r>
    </w:p>
    <w:p>
      <w:pPr>
        <w:spacing w:line="360" w:lineRule="auto"/>
        <w:ind w:firstLine="480" w:firstLineChars="200"/>
        <w:rPr>
          <w:rFonts w:ascii="宋体" w:hAnsi="宋体"/>
          <w:bCs/>
          <w:sz w:val="24"/>
          <w:szCs w:val="24"/>
        </w:rPr>
      </w:pPr>
      <w:r>
        <w:rPr>
          <w:rFonts w:ascii="宋体" w:hAnsi="宋体"/>
          <w:bCs/>
          <w:sz w:val="24"/>
          <w:szCs w:val="24"/>
        </w:rPr>
        <w:t>1.5</w:t>
      </w:r>
      <w:r>
        <w:rPr>
          <w:rFonts w:hint="eastAsia" w:ascii="宋体" w:hAnsi="宋体"/>
          <w:bCs/>
          <w:sz w:val="24"/>
          <w:szCs w:val="24"/>
        </w:rPr>
        <w:t>项目初步开发策划建议</w:t>
      </w:r>
    </w:p>
    <w:p>
      <w:pPr>
        <w:spacing w:line="360" w:lineRule="auto"/>
        <w:ind w:firstLine="480" w:firstLineChars="200"/>
        <w:rPr>
          <w:rFonts w:ascii="宋体" w:hAnsi="宋体"/>
          <w:bCs/>
          <w:sz w:val="24"/>
          <w:szCs w:val="24"/>
        </w:rPr>
      </w:pPr>
      <w:r>
        <w:rPr>
          <w:rFonts w:ascii="宋体" w:hAnsi="宋体"/>
          <w:bCs/>
          <w:sz w:val="24"/>
          <w:szCs w:val="24"/>
        </w:rPr>
        <w:t>1.6</w:t>
      </w:r>
      <w:r>
        <w:rPr>
          <w:rFonts w:hint="eastAsia" w:ascii="宋体" w:hAnsi="宋体"/>
          <w:bCs/>
          <w:sz w:val="24"/>
          <w:szCs w:val="24"/>
        </w:rPr>
        <w:t>项目初步经济测算</w:t>
      </w:r>
    </w:p>
    <w:p>
      <w:pPr>
        <w:spacing w:line="360" w:lineRule="auto"/>
        <w:ind w:firstLine="480" w:firstLineChars="200"/>
        <w:rPr>
          <w:rFonts w:ascii="宋体" w:hAnsi="宋体"/>
          <w:bCs/>
          <w:sz w:val="24"/>
          <w:szCs w:val="24"/>
        </w:rPr>
      </w:pPr>
      <w:r>
        <w:rPr>
          <w:rFonts w:ascii="宋体" w:hAnsi="宋体"/>
          <w:bCs/>
          <w:sz w:val="24"/>
          <w:szCs w:val="24"/>
        </w:rPr>
        <w:t>1.7</w:t>
      </w:r>
      <w:r>
        <w:rPr>
          <w:rFonts w:hint="eastAsia" w:ascii="宋体" w:hAnsi="宋体"/>
          <w:bCs/>
          <w:sz w:val="24"/>
          <w:szCs w:val="24"/>
        </w:rPr>
        <w:t>项目物业发展建议</w:t>
      </w:r>
    </w:p>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其它：本项目规划设计配合及跟进服务，内容包括但不限于：</w:t>
      </w:r>
    </w:p>
    <w:p>
      <w:pPr>
        <w:spacing w:line="360" w:lineRule="auto"/>
        <w:ind w:firstLine="480" w:firstLineChars="200"/>
        <w:rPr>
          <w:rFonts w:ascii="宋体" w:hAnsi="宋体"/>
          <w:bCs/>
          <w:sz w:val="24"/>
          <w:szCs w:val="24"/>
        </w:rPr>
      </w:pPr>
      <w:r>
        <w:rPr>
          <w:rFonts w:ascii="宋体" w:hAnsi="宋体"/>
          <w:bCs/>
          <w:sz w:val="24"/>
          <w:szCs w:val="24"/>
        </w:rPr>
        <w:t>2.1</w:t>
      </w:r>
      <w:r>
        <w:rPr>
          <w:rFonts w:hint="eastAsia" w:ascii="宋体" w:hAnsi="宋体"/>
          <w:bCs/>
          <w:sz w:val="24"/>
          <w:szCs w:val="24"/>
        </w:rPr>
        <w:t>配合后续由于项目规划设计等相关工作的需求，涉及到的定位报告的调整与更新工作，以及相关规划设计相关的意见反馈、专项建议等；</w:t>
      </w:r>
    </w:p>
    <w:p>
      <w:pPr>
        <w:spacing w:line="360" w:lineRule="auto"/>
        <w:ind w:firstLine="480" w:firstLineChars="200"/>
        <w:rPr>
          <w:rFonts w:ascii="宋体" w:hAnsi="宋体"/>
          <w:bCs/>
          <w:kern w:val="0"/>
          <w:sz w:val="24"/>
          <w:szCs w:val="24"/>
          <w:lang w:val="zh-CN"/>
        </w:rPr>
      </w:pPr>
      <w:r>
        <w:rPr>
          <w:rFonts w:ascii="宋体" w:hAnsi="宋体"/>
          <w:bCs/>
          <w:sz w:val="24"/>
          <w:szCs w:val="24"/>
        </w:rPr>
        <w:t>2.2</w:t>
      </w:r>
      <w:r>
        <w:rPr>
          <w:rFonts w:hint="eastAsia" w:ascii="宋体" w:hAnsi="宋体"/>
          <w:bCs/>
          <w:sz w:val="24"/>
          <w:szCs w:val="24"/>
        </w:rPr>
        <w:t>在服务期内按要求提供相关咨询及顾问服务（包括但不限于市场研究、市场动态、市场数据等）。</w:t>
      </w:r>
    </w:p>
    <w:p>
      <w:pPr>
        <w:spacing w:line="360" w:lineRule="auto"/>
        <w:ind w:firstLine="480" w:firstLineChars="200"/>
        <w:rPr>
          <w:rFonts w:ascii="宋体" w:hAnsi="宋体"/>
          <w:sz w:val="24"/>
          <w:szCs w:val="24"/>
        </w:rPr>
      </w:pPr>
      <w:r>
        <w:rPr>
          <w:rFonts w:hint="eastAsia" w:ascii="宋体" w:hAnsi="宋体"/>
          <w:sz w:val="24"/>
          <w:szCs w:val="24"/>
        </w:rPr>
        <w:t>（二）乙方应按照合同规定的进度计划，组织实施合同要求的各项工作，详见《具体工作时间安排表》。</w:t>
      </w:r>
    </w:p>
    <w:p>
      <w:pPr>
        <w:spacing w:line="360" w:lineRule="auto"/>
        <w:ind w:firstLine="480" w:firstLineChars="200"/>
        <w:rPr>
          <w:rFonts w:ascii="宋体" w:hAnsi="宋体"/>
          <w:sz w:val="24"/>
          <w:szCs w:val="24"/>
        </w:rPr>
      </w:pPr>
      <w:r>
        <w:rPr>
          <w:rFonts w:hint="eastAsia" w:ascii="宋体" w:hAnsi="宋体"/>
          <w:sz w:val="24"/>
          <w:szCs w:val="24"/>
        </w:rPr>
        <w:t>（三）乙方应按照合同及附件内容要求组建项目服务团队，详见附件《项目服务团队架构及人员组成》。</w:t>
      </w:r>
    </w:p>
    <w:p>
      <w:pPr>
        <w:spacing w:line="360" w:lineRule="auto"/>
        <w:ind w:firstLine="480" w:firstLineChars="200"/>
        <w:rPr>
          <w:rFonts w:ascii="宋体" w:hAnsi="宋体"/>
          <w:sz w:val="24"/>
          <w:szCs w:val="24"/>
        </w:rPr>
      </w:pPr>
      <w:r>
        <w:rPr>
          <w:rFonts w:hint="eastAsia" w:ascii="宋体" w:hAnsi="宋体"/>
          <w:sz w:val="24"/>
          <w:szCs w:val="24"/>
        </w:rPr>
        <w:t>（四）乙方提交的成果报告均需书面形式，中间成果以PPT形式提交和汇报，最终成果提交PPT成果、可编辑电子WORD文本，以及彩色印刷版共</w:t>
      </w:r>
      <w:r>
        <w:rPr>
          <w:rFonts w:ascii="宋体" w:hAnsi="宋体"/>
          <w:sz w:val="24"/>
          <w:szCs w:val="24"/>
        </w:rPr>
        <w:t>__</w:t>
      </w:r>
      <w:r>
        <w:rPr>
          <w:rFonts w:hint="eastAsia" w:ascii="宋体" w:hAnsi="宋体"/>
          <w:sz w:val="24"/>
          <w:szCs w:val="24"/>
          <w:u w:val="single"/>
        </w:rPr>
        <w:t>4</w:t>
      </w:r>
      <w:r>
        <w:rPr>
          <w:rFonts w:ascii="宋体" w:hAnsi="宋体"/>
          <w:sz w:val="24"/>
          <w:szCs w:val="24"/>
        </w:rPr>
        <w:t>__</w:t>
      </w:r>
      <w:r>
        <w:rPr>
          <w:rFonts w:hint="eastAsia" w:ascii="宋体" w:hAnsi="宋体"/>
          <w:sz w:val="24"/>
          <w:szCs w:val="24"/>
        </w:rPr>
        <w:t>份。</w:t>
      </w:r>
      <w:bookmarkStart w:id="110" w:name="_Toc29995575"/>
      <w:bookmarkStart w:id="111" w:name="_Toc389833585"/>
    </w:p>
    <w:p>
      <w:pPr>
        <w:spacing w:line="360" w:lineRule="auto"/>
        <w:ind w:firstLine="482" w:firstLineChars="200"/>
        <w:rPr>
          <w:rFonts w:ascii="宋体" w:hAnsi="宋体"/>
          <w:sz w:val="24"/>
          <w:szCs w:val="24"/>
        </w:rPr>
      </w:pPr>
      <w:r>
        <w:rPr>
          <w:rFonts w:hint="eastAsia" w:ascii="宋体" w:hAnsi="宋体"/>
          <w:b/>
          <w:bCs/>
          <w:sz w:val="24"/>
          <w:szCs w:val="24"/>
        </w:rPr>
        <w:t>三、合同期限</w:t>
      </w:r>
      <w:bookmarkEnd w:id="110"/>
      <w:bookmarkEnd w:id="111"/>
    </w:p>
    <w:p>
      <w:pPr>
        <w:spacing w:line="360" w:lineRule="auto"/>
        <w:ind w:firstLine="480" w:firstLineChars="200"/>
        <w:rPr>
          <w:rFonts w:ascii="宋体" w:hAnsi="宋体"/>
          <w:bCs/>
          <w:sz w:val="24"/>
          <w:szCs w:val="24"/>
        </w:rPr>
      </w:pPr>
      <w:r>
        <w:rPr>
          <w:rFonts w:hint="eastAsia" w:ascii="宋体" w:hAnsi="宋体"/>
          <w:bCs/>
          <w:sz w:val="24"/>
          <w:szCs w:val="24"/>
        </w:rPr>
        <w:t>1、服务期限自甲方通知之日起至乙方按甲方要求将所有研究报告提交完毕并经汇报通过后止。暂按24个月计。</w:t>
      </w:r>
    </w:p>
    <w:p>
      <w:pPr>
        <w:spacing w:line="360" w:lineRule="auto"/>
        <w:ind w:firstLine="480" w:firstLineChars="200"/>
        <w:rPr>
          <w:rFonts w:ascii="宋体" w:hAnsi="宋体"/>
          <w:bCs/>
          <w:sz w:val="24"/>
          <w:szCs w:val="24"/>
        </w:rPr>
      </w:pPr>
      <w:r>
        <w:rPr>
          <w:rFonts w:hint="eastAsia" w:ascii="宋体" w:hAnsi="宋体"/>
          <w:bCs/>
          <w:sz w:val="24"/>
          <w:szCs w:val="24"/>
        </w:rPr>
        <w:t>2、甲方有权根据实际情况暂停该项服务或解除合同。如暂停服务，自甲方书面暂停通知送达之日起，乙方暂停一切工作，甲方不需支付该期间服务费用，合同期限相应顺延。如解除合同，自甲方书面解除通知送达之日起合同解除，双方据实结算，除此之外，甲方不再承担其他任何责任。</w:t>
      </w:r>
    </w:p>
    <w:p>
      <w:pPr>
        <w:spacing w:line="360" w:lineRule="auto"/>
        <w:ind w:firstLine="480" w:firstLineChars="200"/>
        <w:rPr>
          <w:rFonts w:ascii="宋体" w:hAnsi="宋体"/>
          <w:sz w:val="24"/>
          <w:szCs w:val="24"/>
        </w:rPr>
      </w:pPr>
      <w:r>
        <w:rPr>
          <w:rFonts w:hint="eastAsia" w:ascii="宋体" w:hAnsi="宋体"/>
          <w:sz w:val="24"/>
          <w:szCs w:val="24"/>
        </w:rPr>
        <w:t>3、具体工作时间安排表：</w:t>
      </w:r>
    </w:p>
    <w:tbl>
      <w:tblPr>
        <w:tblStyle w:val="47"/>
        <w:tblW w:w="93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8"/>
        <w:gridCol w:w="2991"/>
        <w:gridCol w:w="4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trPr>
        <w:tc>
          <w:tcPr>
            <w:tcW w:w="4509" w:type="dxa"/>
            <w:gridSpan w:val="2"/>
            <w:shd w:val="clear" w:color="auto" w:fill="auto"/>
            <w:noWrap/>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工作内容</w:t>
            </w:r>
          </w:p>
        </w:tc>
        <w:tc>
          <w:tcPr>
            <w:tcW w:w="4833" w:type="dxa"/>
            <w:shd w:val="clear" w:color="auto" w:fill="auto"/>
            <w:noWrap/>
            <w:vAlign w:val="center"/>
          </w:tcPr>
          <w:p>
            <w:pPr>
              <w:spacing w:line="360" w:lineRule="auto"/>
              <w:jc w:val="center"/>
              <w:rPr>
                <w:rFonts w:ascii="宋体" w:hAnsi="宋体" w:cs="宋体"/>
                <w:color w:val="000000"/>
                <w:sz w:val="24"/>
                <w:szCs w:val="24"/>
              </w:rPr>
            </w:pPr>
            <w:r>
              <w:rPr>
                <w:rFonts w:hint="eastAsia" w:ascii="宋体" w:hAnsi="宋体" w:cs="宋体"/>
                <w:color w:val="000000"/>
                <w:sz w:val="24"/>
                <w:szCs w:val="24"/>
              </w:rPr>
              <w:t>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518" w:type="dxa"/>
            <w:vMerge w:val="restart"/>
            <w:shd w:val="clear" w:color="auto" w:fill="auto"/>
            <w:noWrap/>
            <w:vAlign w:val="center"/>
          </w:tcPr>
          <w:p>
            <w:pPr>
              <w:spacing w:line="360" w:lineRule="auto"/>
              <w:jc w:val="center"/>
              <w:rPr>
                <w:rFonts w:ascii="宋体" w:hAnsi="宋体"/>
                <w:sz w:val="24"/>
                <w:szCs w:val="24"/>
              </w:rPr>
            </w:pPr>
            <w:bookmarkStart w:id="112" w:name="_Toc389833597"/>
            <w:bookmarkStart w:id="113" w:name="_Toc359596786"/>
            <w:r>
              <w:rPr>
                <w:rFonts w:hint="eastAsia" w:ascii="宋体" w:hAnsi="宋体"/>
                <w:b/>
                <w:sz w:val="24"/>
                <w:szCs w:val="24"/>
              </w:rPr>
              <w:t>项目整体定位研究</w:t>
            </w:r>
          </w:p>
        </w:tc>
        <w:tc>
          <w:tcPr>
            <w:tcW w:w="2991" w:type="dxa"/>
            <w:shd w:val="clear" w:color="auto" w:fill="auto"/>
            <w:vAlign w:val="center"/>
          </w:tcPr>
          <w:p>
            <w:pPr>
              <w:spacing w:line="360" w:lineRule="auto"/>
              <w:jc w:val="left"/>
              <w:rPr>
                <w:rFonts w:ascii="宋体" w:hAnsi="宋体" w:cs="宋体"/>
                <w:color w:val="000000"/>
                <w:sz w:val="24"/>
                <w:szCs w:val="24"/>
              </w:rPr>
            </w:pPr>
            <w:r>
              <w:rPr>
                <w:rFonts w:hint="eastAsia" w:ascii="宋体" w:hAnsi="宋体" w:cs="宋体"/>
                <w:color w:val="000000"/>
                <w:sz w:val="24"/>
                <w:szCs w:val="24"/>
              </w:rPr>
              <w:t>提交《</w:t>
            </w:r>
            <w:r>
              <w:rPr>
                <w:rFonts w:hint="eastAsia" w:ascii="宋体" w:hAnsi="宋体"/>
                <w:sz w:val="24"/>
                <w:szCs w:val="24"/>
              </w:rPr>
              <w:t>项目整体定位报告</w:t>
            </w:r>
            <w:r>
              <w:rPr>
                <w:rFonts w:hint="eastAsia" w:ascii="宋体" w:hAnsi="宋体" w:cs="宋体"/>
                <w:color w:val="000000"/>
                <w:sz w:val="24"/>
                <w:szCs w:val="24"/>
              </w:rPr>
              <w:t>》（初稿）</w:t>
            </w:r>
          </w:p>
        </w:tc>
        <w:tc>
          <w:tcPr>
            <w:tcW w:w="4833" w:type="dxa"/>
            <w:shd w:val="clear" w:color="auto" w:fill="auto"/>
            <w:noWrap/>
            <w:vAlign w:val="center"/>
          </w:tcPr>
          <w:p>
            <w:pPr>
              <w:spacing w:line="360" w:lineRule="auto"/>
              <w:rPr>
                <w:rFonts w:ascii="宋体" w:hAnsi="宋体"/>
                <w:sz w:val="24"/>
                <w:szCs w:val="24"/>
              </w:rPr>
            </w:pPr>
            <w:r>
              <w:rPr>
                <w:rFonts w:hint="eastAsia" w:ascii="宋体" w:hAnsi="宋体"/>
                <w:sz w:val="24"/>
                <w:szCs w:val="24"/>
              </w:rPr>
              <w:t>收到甲方《项目定位研究服务阶段启动工作的函》后起计14个日历天内完成。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518" w:type="dxa"/>
            <w:vMerge w:val="continue"/>
            <w:shd w:val="clear" w:color="auto" w:fill="auto"/>
            <w:noWrap/>
            <w:vAlign w:val="center"/>
          </w:tcPr>
          <w:p>
            <w:pPr>
              <w:spacing w:line="360" w:lineRule="auto"/>
              <w:jc w:val="center"/>
              <w:rPr>
                <w:rFonts w:ascii="宋体" w:hAnsi="宋体"/>
                <w:sz w:val="24"/>
                <w:szCs w:val="24"/>
              </w:rPr>
            </w:pPr>
          </w:p>
        </w:tc>
        <w:tc>
          <w:tcPr>
            <w:tcW w:w="2991" w:type="dxa"/>
            <w:shd w:val="clear" w:color="auto" w:fill="auto"/>
            <w:vAlign w:val="center"/>
          </w:tcPr>
          <w:p>
            <w:pPr>
              <w:spacing w:line="360" w:lineRule="auto"/>
              <w:jc w:val="left"/>
              <w:rPr>
                <w:rFonts w:ascii="宋体" w:hAnsi="宋体" w:cs="宋体"/>
                <w:color w:val="000000"/>
                <w:sz w:val="24"/>
                <w:szCs w:val="24"/>
              </w:rPr>
            </w:pPr>
            <w:r>
              <w:rPr>
                <w:rFonts w:hint="eastAsia" w:ascii="宋体" w:hAnsi="宋体" w:cs="宋体"/>
                <w:color w:val="000000"/>
                <w:sz w:val="24"/>
                <w:szCs w:val="24"/>
              </w:rPr>
              <w:t>提交《</w:t>
            </w:r>
            <w:r>
              <w:rPr>
                <w:rFonts w:hint="eastAsia" w:ascii="宋体" w:hAnsi="宋体"/>
                <w:sz w:val="24"/>
                <w:szCs w:val="24"/>
              </w:rPr>
              <w:t>项目整体定位报告</w:t>
            </w:r>
            <w:r>
              <w:rPr>
                <w:rFonts w:hint="eastAsia" w:ascii="宋体" w:hAnsi="宋体" w:cs="宋体"/>
                <w:color w:val="000000"/>
                <w:sz w:val="24"/>
                <w:szCs w:val="24"/>
              </w:rPr>
              <w:t>》（汇报稿）</w:t>
            </w:r>
          </w:p>
        </w:tc>
        <w:tc>
          <w:tcPr>
            <w:tcW w:w="4833" w:type="dxa"/>
            <w:shd w:val="clear" w:color="auto" w:fill="auto"/>
            <w:noWrap/>
            <w:vAlign w:val="center"/>
          </w:tcPr>
          <w:p>
            <w:pPr>
              <w:spacing w:line="360" w:lineRule="auto"/>
              <w:rPr>
                <w:rFonts w:ascii="宋体" w:hAnsi="宋体"/>
                <w:sz w:val="24"/>
                <w:szCs w:val="24"/>
              </w:rPr>
            </w:pPr>
            <w:r>
              <w:rPr>
                <w:rFonts w:hint="eastAsia" w:ascii="宋体" w:hAnsi="宋体"/>
                <w:sz w:val="24"/>
                <w:szCs w:val="24"/>
              </w:rPr>
              <w:t>完成</w:t>
            </w:r>
            <w:r>
              <w:rPr>
                <w:rFonts w:hint="eastAsia" w:ascii="宋体" w:hAnsi="宋体" w:cs="宋体"/>
                <w:color w:val="000000"/>
                <w:sz w:val="24"/>
                <w:szCs w:val="24"/>
              </w:rPr>
              <w:t>提交《</w:t>
            </w:r>
            <w:r>
              <w:rPr>
                <w:rFonts w:hint="eastAsia" w:ascii="宋体" w:hAnsi="宋体"/>
                <w:sz w:val="24"/>
                <w:szCs w:val="24"/>
              </w:rPr>
              <w:t>项目整体定位报告</w:t>
            </w:r>
            <w:r>
              <w:rPr>
                <w:rFonts w:hint="eastAsia" w:ascii="宋体" w:hAnsi="宋体" w:cs="宋体"/>
                <w:color w:val="000000"/>
                <w:sz w:val="24"/>
                <w:szCs w:val="24"/>
              </w:rPr>
              <w:t>》（初稿）</w:t>
            </w:r>
            <w:r>
              <w:rPr>
                <w:rFonts w:hint="eastAsia" w:ascii="宋体" w:hAnsi="宋体"/>
                <w:sz w:val="24"/>
                <w:szCs w:val="24"/>
              </w:rPr>
              <w:t>的7个日历天内完成。</w:t>
            </w:r>
          </w:p>
        </w:tc>
      </w:tr>
    </w:tbl>
    <w:p>
      <w:pPr>
        <w:spacing w:line="360" w:lineRule="auto"/>
        <w:ind w:firstLine="482" w:firstLineChars="200"/>
        <w:rPr>
          <w:rFonts w:ascii="宋体" w:hAnsi="宋体"/>
          <w:b/>
          <w:bCs/>
          <w:sz w:val="24"/>
          <w:szCs w:val="24"/>
        </w:rPr>
      </w:pPr>
      <w:r>
        <w:rPr>
          <w:rFonts w:hint="eastAsia" w:ascii="宋体" w:hAnsi="宋体"/>
          <w:b/>
          <w:bCs/>
          <w:sz w:val="24"/>
          <w:szCs w:val="24"/>
        </w:rPr>
        <w:t>四、合同价格与支付</w:t>
      </w:r>
    </w:p>
    <w:p>
      <w:pPr>
        <w:spacing w:line="360" w:lineRule="auto"/>
        <w:ind w:firstLine="480" w:firstLineChars="200"/>
        <w:rPr>
          <w:rFonts w:ascii="宋体" w:hAnsi="宋体"/>
          <w:bCs/>
          <w:sz w:val="24"/>
          <w:szCs w:val="24"/>
        </w:rPr>
      </w:pPr>
      <w:r>
        <w:rPr>
          <w:rFonts w:hint="eastAsia" w:ascii="宋体" w:hAnsi="宋体"/>
          <w:bCs/>
          <w:sz w:val="24"/>
          <w:szCs w:val="24"/>
        </w:rPr>
        <w:t>1、本合同为总价合同，合同价款为人民币 XX 元整（小写：XX元），其中不含税总价为XX元，增值税税率为XX%，税额XX元。合同的增值税率根据国家税收法规政策变动而调整，不含税价不随增值税率的变化进行调整。</w:t>
      </w:r>
    </w:p>
    <w:p>
      <w:pPr>
        <w:spacing w:line="360" w:lineRule="auto"/>
        <w:ind w:firstLine="480" w:firstLineChars="200"/>
        <w:rPr>
          <w:rFonts w:ascii="宋体" w:hAnsi="宋体"/>
          <w:bCs/>
          <w:sz w:val="24"/>
          <w:szCs w:val="24"/>
        </w:rPr>
      </w:pPr>
      <w:r>
        <w:rPr>
          <w:rFonts w:hint="eastAsia" w:ascii="宋体" w:hAnsi="宋体"/>
          <w:bCs/>
          <w:sz w:val="24"/>
          <w:szCs w:val="24"/>
        </w:rPr>
        <w:t>合同价款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验收费等。</w:t>
      </w:r>
    </w:p>
    <w:p>
      <w:pPr>
        <w:spacing w:line="360" w:lineRule="auto"/>
        <w:ind w:firstLine="480" w:firstLineChars="200"/>
        <w:rPr>
          <w:rFonts w:ascii="宋体" w:hAnsi="宋体"/>
          <w:bCs/>
          <w:sz w:val="24"/>
          <w:szCs w:val="24"/>
        </w:rPr>
      </w:pPr>
      <w:r>
        <w:rPr>
          <w:rFonts w:ascii="宋体" w:hAnsi="宋体"/>
          <w:bCs/>
          <w:sz w:val="24"/>
          <w:szCs w:val="24"/>
        </w:rPr>
        <w:t>2</w:t>
      </w:r>
      <w:r>
        <w:rPr>
          <w:rFonts w:hint="eastAsia" w:ascii="宋体" w:hAnsi="宋体"/>
          <w:bCs/>
          <w:sz w:val="24"/>
          <w:szCs w:val="24"/>
        </w:rPr>
        <w:t>、前述费用原则上应根据项目研究工作的实际完成进度情况分阶段按比例进行支付。拟按以下计划进行支付。当项目进度出现重大提前或延迟，支付进度应进行相应调整。每次付款应由乙方根据合同规定提出付款申请，经甲方审核通过后14个工作日内支付。</w:t>
      </w:r>
    </w:p>
    <w:p>
      <w:pPr>
        <w:spacing w:line="360" w:lineRule="auto"/>
        <w:ind w:firstLine="480" w:firstLineChars="200"/>
        <w:rPr>
          <w:rFonts w:ascii="宋体" w:hAnsi="宋体"/>
          <w:bCs/>
          <w:sz w:val="24"/>
          <w:szCs w:val="24"/>
        </w:rPr>
      </w:pPr>
      <w:r>
        <w:rPr>
          <w:rFonts w:hint="eastAsia" w:ascii="宋体" w:hAnsi="宋体"/>
          <w:bCs/>
          <w:sz w:val="24"/>
          <w:szCs w:val="24"/>
        </w:rPr>
        <w:t>乙方应在甲方付款前，向甲方提供正式的增值税专用发票，否则甲方有权拒绝付款，且并不因此承担任何违约责任，乙方仍应按本合同约定履行义务。</w:t>
      </w:r>
    </w:p>
    <w:p>
      <w:pPr>
        <w:spacing w:line="360" w:lineRule="auto"/>
        <w:ind w:firstLine="480" w:firstLineChars="200"/>
        <w:rPr>
          <w:rFonts w:ascii="宋体" w:hAnsi="宋体"/>
          <w:bCs/>
          <w:sz w:val="24"/>
          <w:szCs w:val="24"/>
        </w:rPr>
      </w:pPr>
      <w:r>
        <w:rPr>
          <w:rFonts w:hint="eastAsia" w:ascii="宋体" w:hAnsi="宋体"/>
          <w:bCs/>
          <w:sz w:val="24"/>
          <w:szCs w:val="24"/>
        </w:rPr>
        <w:t>相关支付进度：</w:t>
      </w:r>
    </w:p>
    <w:tbl>
      <w:tblPr>
        <w:tblStyle w:val="47"/>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42" w:type="dxa"/>
          <w:bottom w:w="85" w:type="dxa"/>
          <w:right w:w="142" w:type="dxa"/>
        </w:tblCellMar>
      </w:tblPr>
      <w:tblGrid>
        <w:gridCol w:w="1560"/>
        <w:gridCol w:w="5811"/>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05" w:hRule="atLeast"/>
        </w:trPr>
        <w:tc>
          <w:tcPr>
            <w:tcW w:w="15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付款期次</w:t>
            </w:r>
          </w:p>
        </w:tc>
        <w:tc>
          <w:tcPr>
            <w:tcW w:w="5812"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491" w:firstLineChars="678"/>
              <w:rPr>
                <w:rFonts w:ascii="仿宋_GB2312" w:hAnsi="仿宋" w:eastAsia="仿宋_GB2312"/>
                <w:sz w:val="22"/>
              </w:rPr>
            </w:pPr>
            <w:r>
              <w:rPr>
                <w:rFonts w:hint="eastAsia" w:ascii="仿宋_GB2312" w:hAnsi="仿宋" w:eastAsia="仿宋_GB2312"/>
                <w:sz w:val="22"/>
              </w:rPr>
              <w:t>付款节点</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05" w:hRule="atLeast"/>
        </w:trPr>
        <w:tc>
          <w:tcPr>
            <w:tcW w:w="15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第一次付款</w:t>
            </w:r>
          </w:p>
        </w:tc>
        <w:tc>
          <w:tcPr>
            <w:tcW w:w="5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仿宋" w:eastAsia="仿宋_GB2312"/>
                <w:sz w:val="22"/>
              </w:rPr>
            </w:pPr>
            <w:r>
              <w:rPr>
                <w:rFonts w:hint="eastAsia" w:ascii="仿宋_GB2312" w:hAnsi="仿宋" w:eastAsia="仿宋_GB2312"/>
                <w:sz w:val="22"/>
              </w:rPr>
              <w:t>甲方向乙方发出《项目定位研究服务阶段启动工作的函》后</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支付合同总价的10%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05" w:hRule="atLeast"/>
        </w:trPr>
        <w:tc>
          <w:tcPr>
            <w:tcW w:w="15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第二次付款</w:t>
            </w:r>
          </w:p>
        </w:tc>
        <w:tc>
          <w:tcPr>
            <w:tcW w:w="5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_GB2312" w:hAnsi="仿宋" w:eastAsia="仿宋_GB2312"/>
                <w:sz w:val="22"/>
              </w:rPr>
            </w:pPr>
            <w:r>
              <w:rPr>
                <w:rFonts w:hint="eastAsia" w:ascii="仿宋_GB2312" w:hAnsi="仿宋" w:eastAsia="仿宋_GB2312"/>
                <w:sz w:val="22"/>
              </w:rPr>
              <w:t>乙方按要求完成《项目整体定位报告》报告提纲</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支付合同总价的10%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05" w:hRule="atLeast"/>
        </w:trPr>
        <w:tc>
          <w:tcPr>
            <w:tcW w:w="1560"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第三次付款</w:t>
            </w:r>
          </w:p>
        </w:tc>
        <w:tc>
          <w:tcPr>
            <w:tcW w:w="581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left"/>
              <w:rPr>
                <w:rFonts w:ascii="仿宋_GB2312" w:hAnsi="仿宋" w:eastAsia="仿宋_GB2312"/>
                <w:sz w:val="22"/>
              </w:rPr>
            </w:pPr>
            <w:r>
              <w:rPr>
                <w:rFonts w:hint="eastAsia" w:ascii="仿宋_GB2312" w:hAnsi="仿宋" w:eastAsia="仿宋_GB2312"/>
                <w:sz w:val="22"/>
              </w:rPr>
              <w:t>乙方完成并向甲方提交《项目整体定位报告》（终稿），及经济测算报告，并通过甲方组织的会议审议，并出具会议纪要后</w:t>
            </w:r>
          </w:p>
        </w:tc>
        <w:tc>
          <w:tcPr>
            <w:tcW w:w="2409"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支付合同总价的70%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05" w:hRule="atLeast"/>
        </w:trPr>
        <w:tc>
          <w:tcPr>
            <w:tcW w:w="1560"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第四次付款</w:t>
            </w:r>
          </w:p>
        </w:tc>
        <w:tc>
          <w:tcPr>
            <w:tcW w:w="581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left"/>
              <w:rPr>
                <w:rFonts w:ascii="仿宋_GB2312" w:hAnsi="仿宋" w:eastAsia="仿宋_GB2312"/>
                <w:sz w:val="22"/>
              </w:rPr>
            </w:pPr>
            <w:r>
              <w:rPr>
                <w:rFonts w:hint="eastAsia" w:ascii="仿宋_GB2312" w:hAnsi="仿宋" w:eastAsia="仿宋_GB2312"/>
                <w:sz w:val="22"/>
              </w:rPr>
              <w:t>乙方在服务期内按要求提供相关咨询及顾问服务（包括但不限于市场研究资料），并于合同期满完成合同结算后</w:t>
            </w:r>
          </w:p>
        </w:tc>
        <w:tc>
          <w:tcPr>
            <w:tcW w:w="2409"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center"/>
              <w:rPr>
                <w:rFonts w:ascii="仿宋_GB2312" w:hAnsi="仿宋" w:eastAsia="仿宋_GB2312"/>
                <w:sz w:val="22"/>
              </w:rPr>
            </w:pPr>
            <w:r>
              <w:rPr>
                <w:rFonts w:hint="eastAsia" w:ascii="仿宋_GB2312" w:hAnsi="仿宋" w:eastAsia="仿宋_GB2312"/>
                <w:sz w:val="22"/>
              </w:rPr>
              <w:t>支付合同总价的10%</w:t>
            </w:r>
          </w:p>
        </w:tc>
      </w:tr>
    </w:tbl>
    <w:p>
      <w:pPr>
        <w:spacing w:line="360" w:lineRule="auto"/>
        <w:ind w:firstLine="480" w:firstLineChars="200"/>
        <w:rPr>
          <w:rFonts w:ascii="宋体" w:hAnsi="宋体"/>
          <w:bCs/>
          <w:sz w:val="24"/>
          <w:szCs w:val="24"/>
        </w:rPr>
      </w:pPr>
      <w:r>
        <w:rPr>
          <w:rFonts w:ascii="宋体" w:hAnsi="宋体"/>
          <w:bCs/>
          <w:sz w:val="24"/>
          <w:szCs w:val="24"/>
        </w:rPr>
        <w:t>3</w:t>
      </w:r>
      <w:r>
        <w:rPr>
          <w:rFonts w:hint="eastAsia" w:ascii="宋体" w:hAnsi="宋体"/>
          <w:bCs/>
          <w:sz w:val="24"/>
          <w:szCs w:val="24"/>
        </w:rPr>
        <w:t>、乙方指定银行账户如下：</w:t>
      </w:r>
    </w:p>
    <w:p>
      <w:pPr>
        <w:spacing w:line="360" w:lineRule="auto"/>
        <w:ind w:firstLine="480" w:firstLineChars="200"/>
        <w:rPr>
          <w:rFonts w:ascii="宋体" w:hAnsi="宋体"/>
          <w:bCs/>
          <w:sz w:val="24"/>
          <w:szCs w:val="24"/>
        </w:rPr>
      </w:pPr>
      <w:r>
        <w:rPr>
          <w:rFonts w:hint="eastAsia" w:ascii="宋体" w:hAnsi="宋体"/>
          <w:bCs/>
          <w:sz w:val="24"/>
          <w:szCs w:val="24"/>
        </w:rPr>
        <w:t>银行名称：</w:t>
      </w:r>
      <w:r>
        <w:rPr>
          <w:rFonts w:ascii="宋体" w:hAnsi="宋体"/>
          <w:bCs/>
          <w:sz w:val="24"/>
          <w:szCs w:val="24"/>
          <w:u w:val="single"/>
        </w:rPr>
        <w:t xml:space="preserve">                                    </w:t>
      </w:r>
    </w:p>
    <w:p>
      <w:pPr>
        <w:spacing w:line="360" w:lineRule="auto"/>
        <w:ind w:firstLine="480" w:firstLineChars="200"/>
        <w:rPr>
          <w:rFonts w:ascii="宋体" w:hAnsi="宋体"/>
          <w:bCs/>
          <w:sz w:val="24"/>
          <w:szCs w:val="24"/>
          <w:u w:val="single"/>
        </w:rPr>
      </w:pPr>
      <w:r>
        <w:rPr>
          <w:rFonts w:hint="eastAsia" w:ascii="宋体" w:hAnsi="宋体"/>
          <w:bCs/>
          <w:sz w:val="24"/>
          <w:szCs w:val="24"/>
        </w:rPr>
        <w:t>账户名称：</w:t>
      </w:r>
      <w:r>
        <w:rPr>
          <w:rFonts w:ascii="宋体" w:hAnsi="宋体"/>
          <w:bCs/>
          <w:sz w:val="24"/>
          <w:szCs w:val="24"/>
          <w:u w:val="single"/>
        </w:rPr>
        <w:t xml:space="preserve">                                    </w:t>
      </w:r>
    </w:p>
    <w:p>
      <w:pPr>
        <w:spacing w:line="360" w:lineRule="auto"/>
        <w:ind w:firstLine="480" w:firstLineChars="200"/>
        <w:rPr>
          <w:rFonts w:ascii="宋体" w:hAnsi="宋体"/>
          <w:bCs/>
          <w:sz w:val="24"/>
          <w:szCs w:val="24"/>
        </w:rPr>
      </w:pPr>
      <w:r>
        <w:rPr>
          <w:rFonts w:hint="eastAsia" w:ascii="宋体" w:hAnsi="宋体"/>
          <w:bCs/>
          <w:sz w:val="24"/>
          <w:szCs w:val="24"/>
        </w:rPr>
        <w:t>账户号码：</w:t>
      </w:r>
      <w:r>
        <w:rPr>
          <w:rFonts w:ascii="宋体" w:hAnsi="宋体"/>
          <w:bCs/>
          <w:sz w:val="24"/>
          <w:szCs w:val="24"/>
          <w:u w:val="single"/>
        </w:rPr>
        <w:t xml:space="preserve">                                    </w:t>
      </w:r>
    </w:p>
    <w:p>
      <w:pPr>
        <w:spacing w:line="360" w:lineRule="auto"/>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五、甲方的权利和</w:t>
      </w:r>
      <w:r>
        <w:rPr>
          <w:rFonts w:ascii="宋体" w:hAnsi="宋体"/>
          <w:b/>
          <w:bCs/>
          <w:sz w:val="24"/>
          <w:szCs w:val="24"/>
        </w:rPr>
        <w:t>义务</w:t>
      </w:r>
    </w:p>
    <w:p>
      <w:pPr>
        <w:spacing w:line="360" w:lineRule="auto"/>
        <w:ind w:firstLine="480" w:firstLineChars="200"/>
        <w:rPr>
          <w:rFonts w:ascii="宋体" w:hAnsi="宋体"/>
          <w:bCs/>
          <w:sz w:val="24"/>
          <w:szCs w:val="24"/>
        </w:rPr>
      </w:pPr>
      <w:r>
        <w:rPr>
          <w:rFonts w:hint="eastAsia" w:ascii="宋体" w:hAnsi="宋体"/>
          <w:bCs/>
          <w:sz w:val="24"/>
          <w:szCs w:val="24"/>
        </w:rPr>
        <w:t>1、对乙方的项目研究工作进行甲方认为必要的检查和监督。如发现乙方执行不力，有权要求乙方进行整改，直至满足工作的需要。</w:t>
      </w:r>
    </w:p>
    <w:p>
      <w:pPr>
        <w:spacing w:line="360" w:lineRule="auto"/>
        <w:ind w:firstLine="480" w:firstLineChars="200"/>
        <w:rPr>
          <w:rFonts w:ascii="宋体" w:hAnsi="宋体"/>
          <w:bCs/>
          <w:sz w:val="24"/>
          <w:szCs w:val="24"/>
        </w:rPr>
      </w:pPr>
      <w:r>
        <w:rPr>
          <w:rFonts w:hint="eastAsia" w:ascii="宋体" w:hAnsi="宋体"/>
          <w:bCs/>
          <w:sz w:val="24"/>
          <w:szCs w:val="24"/>
        </w:rPr>
        <w:t>2、检查乙方项目服务</w:t>
      </w:r>
      <w:r>
        <w:rPr>
          <w:rFonts w:ascii="宋体" w:hAnsi="宋体"/>
          <w:bCs/>
          <w:sz w:val="24"/>
          <w:szCs w:val="24"/>
        </w:rPr>
        <w:t>团队</w:t>
      </w:r>
      <w:r>
        <w:rPr>
          <w:rFonts w:hint="eastAsia" w:ascii="宋体" w:hAnsi="宋体"/>
          <w:bCs/>
          <w:sz w:val="24"/>
          <w:szCs w:val="24"/>
        </w:rPr>
        <w:t>人员到位情况、人员稳定情况，考核项目负责人、项目组人员的工作能力，如因人员能力不足致使本合同规定的任务不能按时按质完成时，可要求乙方增加相应的工作人员，乙方不得拒绝；若认为乙方的人员不称职，可要求乙方更换人员，乙方必须无条件服从；乙方未得到甲方的准许，不能随意更换服务团队人员。</w:t>
      </w:r>
    </w:p>
    <w:p>
      <w:pPr>
        <w:spacing w:line="360" w:lineRule="auto"/>
        <w:ind w:firstLine="480" w:firstLineChars="200"/>
        <w:rPr>
          <w:rFonts w:ascii="宋体" w:hAnsi="宋体"/>
          <w:bCs/>
          <w:sz w:val="24"/>
          <w:szCs w:val="24"/>
        </w:rPr>
      </w:pPr>
      <w:r>
        <w:rPr>
          <w:rFonts w:hint="eastAsia" w:ascii="宋体" w:hAnsi="宋体"/>
          <w:bCs/>
          <w:sz w:val="24"/>
          <w:szCs w:val="24"/>
        </w:rPr>
        <w:t>3、对乙方提交的阶段性研究报告与工作成果进行审查。</w:t>
      </w:r>
    </w:p>
    <w:p>
      <w:pPr>
        <w:spacing w:line="360" w:lineRule="auto"/>
        <w:ind w:firstLine="480" w:firstLineChars="200"/>
        <w:rPr>
          <w:rFonts w:ascii="宋体" w:hAnsi="宋体"/>
          <w:bCs/>
          <w:sz w:val="24"/>
          <w:szCs w:val="24"/>
        </w:rPr>
      </w:pPr>
      <w:r>
        <w:rPr>
          <w:rFonts w:hint="eastAsia" w:ascii="宋体" w:hAnsi="宋体"/>
          <w:bCs/>
          <w:sz w:val="24"/>
          <w:szCs w:val="24"/>
        </w:rPr>
        <w:t>4、在本项目实施期间，积极配合乙方开展工作，给予乙方力所能及的方便，提供本项目所需要的图纸、资料、文件等。</w:t>
      </w:r>
    </w:p>
    <w:p>
      <w:pPr>
        <w:spacing w:line="360" w:lineRule="auto"/>
        <w:ind w:firstLine="480" w:firstLineChars="200"/>
        <w:rPr>
          <w:rFonts w:ascii="宋体" w:hAnsi="宋体"/>
          <w:bCs/>
          <w:sz w:val="24"/>
          <w:szCs w:val="24"/>
        </w:rPr>
      </w:pPr>
      <w:r>
        <w:rPr>
          <w:rFonts w:ascii="宋体" w:hAnsi="宋体"/>
          <w:bCs/>
          <w:sz w:val="24"/>
          <w:szCs w:val="24"/>
        </w:rPr>
        <w:t>5</w:t>
      </w:r>
      <w:r>
        <w:rPr>
          <w:rFonts w:hint="eastAsia" w:ascii="宋体" w:hAnsi="宋体"/>
          <w:bCs/>
          <w:sz w:val="24"/>
          <w:szCs w:val="24"/>
        </w:rPr>
        <w:t>、在需要做出决定的重大事宜时，应及时做出决定，通知乙方。</w:t>
      </w:r>
    </w:p>
    <w:p>
      <w:pPr>
        <w:spacing w:line="360" w:lineRule="auto"/>
        <w:ind w:firstLine="480" w:firstLineChars="200"/>
        <w:rPr>
          <w:rFonts w:ascii="宋体" w:hAnsi="宋体"/>
          <w:bCs/>
          <w:sz w:val="24"/>
          <w:szCs w:val="24"/>
        </w:rPr>
      </w:pPr>
      <w:r>
        <w:rPr>
          <w:rFonts w:ascii="宋体" w:hAnsi="宋体"/>
          <w:bCs/>
          <w:sz w:val="24"/>
          <w:szCs w:val="24"/>
        </w:rPr>
        <w:t>6</w:t>
      </w:r>
      <w:r>
        <w:rPr>
          <w:rFonts w:hint="eastAsia" w:ascii="宋体" w:hAnsi="宋体"/>
          <w:bCs/>
          <w:sz w:val="24"/>
          <w:szCs w:val="24"/>
        </w:rPr>
        <w:t>、按照合同规定，支付服务费。</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六、乙方的权利和</w:t>
      </w:r>
      <w:r>
        <w:rPr>
          <w:rFonts w:ascii="宋体" w:hAnsi="宋体"/>
          <w:b/>
          <w:bCs/>
          <w:sz w:val="24"/>
          <w:szCs w:val="24"/>
        </w:rPr>
        <w:t>义务</w:t>
      </w:r>
    </w:p>
    <w:p>
      <w:pPr>
        <w:spacing w:line="360" w:lineRule="auto"/>
        <w:ind w:firstLine="480" w:firstLineChars="200"/>
        <w:rPr>
          <w:rFonts w:ascii="宋体" w:hAnsi="宋体"/>
          <w:bCs/>
          <w:sz w:val="24"/>
          <w:szCs w:val="24"/>
        </w:rPr>
      </w:pPr>
      <w:r>
        <w:rPr>
          <w:rFonts w:hint="eastAsia" w:ascii="宋体" w:hAnsi="宋体"/>
          <w:bCs/>
          <w:sz w:val="24"/>
          <w:szCs w:val="24"/>
        </w:rPr>
        <w:t>1、有权要求甲方按合同约定提供必要的工作支持。</w:t>
      </w:r>
    </w:p>
    <w:p>
      <w:pPr>
        <w:spacing w:line="360" w:lineRule="auto"/>
        <w:ind w:firstLine="480" w:firstLineChars="200"/>
        <w:rPr>
          <w:rFonts w:ascii="宋体" w:hAnsi="宋体"/>
          <w:bCs/>
          <w:sz w:val="24"/>
          <w:szCs w:val="24"/>
        </w:rPr>
      </w:pPr>
      <w:r>
        <w:rPr>
          <w:rFonts w:hint="eastAsia" w:ascii="宋体" w:hAnsi="宋体"/>
          <w:bCs/>
          <w:sz w:val="24"/>
          <w:szCs w:val="24"/>
        </w:rPr>
        <w:t>2、按照合同规定，收取服务费。</w:t>
      </w:r>
    </w:p>
    <w:p>
      <w:pPr>
        <w:spacing w:line="360" w:lineRule="auto"/>
        <w:ind w:firstLine="480" w:firstLineChars="200"/>
        <w:rPr>
          <w:rFonts w:ascii="宋体" w:hAnsi="宋体"/>
          <w:bCs/>
          <w:sz w:val="24"/>
          <w:szCs w:val="24"/>
        </w:rPr>
      </w:pPr>
      <w:r>
        <w:rPr>
          <w:rFonts w:ascii="宋体" w:hAnsi="宋体"/>
          <w:bCs/>
          <w:sz w:val="24"/>
          <w:szCs w:val="24"/>
        </w:rPr>
        <w:t>3</w:t>
      </w:r>
      <w:r>
        <w:rPr>
          <w:rFonts w:hint="eastAsia" w:ascii="宋体" w:hAnsi="宋体"/>
          <w:bCs/>
          <w:sz w:val="24"/>
          <w:szCs w:val="24"/>
        </w:rPr>
        <w:t>、乙方应保证其经验和能力满足开展本合同服务的要求，按照合同规定，执行进度计划，保质、保量完成本合同服务任务，提交合格的工作成果，并协助甲方与外部单位进行沟通。</w:t>
      </w:r>
    </w:p>
    <w:p>
      <w:pPr>
        <w:spacing w:line="360" w:lineRule="auto"/>
        <w:ind w:firstLine="480" w:firstLineChars="200"/>
        <w:rPr>
          <w:rFonts w:ascii="宋体" w:hAnsi="宋体"/>
          <w:bCs/>
          <w:sz w:val="24"/>
          <w:szCs w:val="24"/>
        </w:rPr>
      </w:pPr>
      <w:r>
        <w:rPr>
          <w:rFonts w:ascii="宋体" w:hAnsi="宋体"/>
          <w:bCs/>
          <w:sz w:val="24"/>
          <w:szCs w:val="24"/>
        </w:rPr>
        <w:t>4</w:t>
      </w:r>
      <w:r>
        <w:rPr>
          <w:rFonts w:hint="eastAsia" w:ascii="宋体" w:hAnsi="宋体"/>
          <w:bCs/>
          <w:sz w:val="24"/>
          <w:szCs w:val="24"/>
        </w:rPr>
        <w:t>、按照合同规定，乙方根据提交的“项目服务团队架构及人员组成”组建项目服务团队，配备项目负责人及工作人员，上述工作人员不得擅自调换，主要人员应积极主动地推进各项工作。乙方须向甲方提供服务团队人员联络方式。如甲方认为乙方的人员不称职，致使本合同不能按计划完成，甲方要求乙方更换称职人员或增加人员，乙方必须无条件服从。</w:t>
      </w:r>
    </w:p>
    <w:p>
      <w:pPr>
        <w:spacing w:line="360" w:lineRule="auto"/>
        <w:ind w:firstLine="480" w:firstLineChars="200"/>
        <w:rPr>
          <w:rFonts w:ascii="宋体" w:hAnsi="宋体"/>
          <w:bCs/>
          <w:sz w:val="24"/>
          <w:szCs w:val="24"/>
        </w:rPr>
      </w:pPr>
      <w:r>
        <w:rPr>
          <w:rFonts w:ascii="宋体" w:hAnsi="宋体"/>
          <w:bCs/>
          <w:sz w:val="24"/>
          <w:szCs w:val="24"/>
        </w:rPr>
        <w:t>5</w:t>
      </w:r>
      <w:r>
        <w:rPr>
          <w:rFonts w:hint="eastAsia" w:ascii="宋体" w:hAnsi="宋体"/>
          <w:bCs/>
          <w:sz w:val="24"/>
          <w:szCs w:val="24"/>
        </w:rPr>
        <w:t>、乙方应为本项目服务团队配备必要的办公场地、办公设备、交通工具以及通讯工具等，并承担相应的日常费用，以确保满足日常工作的需要。</w:t>
      </w:r>
    </w:p>
    <w:p>
      <w:pPr>
        <w:spacing w:line="360" w:lineRule="auto"/>
        <w:ind w:firstLine="480" w:firstLineChars="200"/>
        <w:rPr>
          <w:rFonts w:ascii="宋体" w:hAnsi="宋体"/>
          <w:bCs/>
          <w:sz w:val="24"/>
          <w:szCs w:val="24"/>
        </w:rPr>
      </w:pPr>
      <w:r>
        <w:rPr>
          <w:rFonts w:ascii="宋体" w:hAnsi="宋体"/>
          <w:bCs/>
          <w:sz w:val="24"/>
          <w:szCs w:val="24"/>
        </w:rPr>
        <w:t>6</w:t>
      </w:r>
      <w:r>
        <w:rPr>
          <w:rFonts w:hint="eastAsia" w:ascii="宋体" w:hAnsi="宋体"/>
          <w:bCs/>
          <w:sz w:val="24"/>
          <w:szCs w:val="24"/>
        </w:rPr>
        <w:t>、在项目研究期间内，乙方应保证进行深入、详细、科学的项目分析研究，按照合同规定，执行进度计划，保质、保量完成顾问研究工作，提交具有真实性、实用性、科学性及针对性的咨询报告。</w:t>
      </w:r>
    </w:p>
    <w:p>
      <w:pPr>
        <w:spacing w:line="360" w:lineRule="auto"/>
        <w:ind w:firstLine="480" w:firstLineChars="200"/>
        <w:rPr>
          <w:rFonts w:ascii="宋体" w:hAnsi="宋体"/>
          <w:bCs/>
          <w:sz w:val="24"/>
          <w:szCs w:val="24"/>
        </w:rPr>
      </w:pPr>
      <w:r>
        <w:rPr>
          <w:rFonts w:ascii="宋体" w:hAnsi="宋体"/>
          <w:bCs/>
          <w:sz w:val="24"/>
          <w:szCs w:val="24"/>
        </w:rPr>
        <w:t>7</w:t>
      </w:r>
      <w:r>
        <w:rPr>
          <w:rFonts w:hint="eastAsia" w:ascii="宋体" w:hAnsi="宋体"/>
          <w:bCs/>
          <w:sz w:val="24"/>
          <w:szCs w:val="24"/>
        </w:rPr>
        <w:t>、安排专人与甲方的本项目执行人对接，负责本项目研究服务相关事宜的联系工作。</w:t>
      </w:r>
    </w:p>
    <w:p>
      <w:pPr>
        <w:spacing w:line="360" w:lineRule="auto"/>
        <w:ind w:firstLine="480" w:firstLineChars="200"/>
        <w:rPr>
          <w:rFonts w:ascii="宋体" w:hAnsi="宋体"/>
          <w:bCs/>
          <w:sz w:val="24"/>
          <w:szCs w:val="24"/>
        </w:rPr>
      </w:pPr>
      <w:r>
        <w:rPr>
          <w:rFonts w:ascii="宋体" w:hAnsi="宋体"/>
          <w:bCs/>
          <w:sz w:val="24"/>
          <w:szCs w:val="24"/>
        </w:rPr>
        <w:t>8</w:t>
      </w:r>
      <w:r>
        <w:rPr>
          <w:rFonts w:hint="eastAsia" w:ascii="宋体" w:hAnsi="宋体"/>
          <w:bCs/>
          <w:sz w:val="24"/>
          <w:szCs w:val="24"/>
        </w:rPr>
        <w:t>、定期参加甲方的项目例会，向甲方提交阶段性研究报告与工作成果，必要时或应甲方的要求采用会议等形式向甲方汇报。</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七、工作成果提交期限及验收标准</w:t>
      </w:r>
    </w:p>
    <w:p>
      <w:pPr>
        <w:spacing w:line="360" w:lineRule="auto"/>
        <w:ind w:firstLine="480" w:firstLineChars="200"/>
        <w:rPr>
          <w:rFonts w:ascii="宋体" w:hAnsi="宋体"/>
          <w:bCs/>
          <w:sz w:val="24"/>
          <w:szCs w:val="24"/>
        </w:rPr>
      </w:pPr>
      <w:r>
        <w:rPr>
          <w:rFonts w:hint="eastAsia" w:ascii="宋体" w:hAnsi="宋体"/>
          <w:bCs/>
          <w:sz w:val="24"/>
          <w:szCs w:val="24"/>
        </w:rPr>
        <w:t>1、视实际工作要求，自甲方发出工作指令日起计按具体工作指令要求时间完成相关工作并提交工作成果。甲方发出工作指令包括会议纪要、电子邮件、通知书、微信、短信、传真等形式。</w:t>
      </w:r>
    </w:p>
    <w:p>
      <w:pPr>
        <w:spacing w:line="360" w:lineRule="auto"/>
        <w:ind w:firstLine="480" w:firstLineChars="200"/>
        <w:rPr>
          <w:rFonts w:ascii="宋体" w:hAnsi="宋体"/>
          <w:bCs/>
          <w:sz w:val="24"/>
          <w:szCs w:val="24"/>
        </w:rPr>
      </w:pPr>
      <w:r>
        <w:rPr>
          <w:rFonts w:hint="eastAsia" w:ascii="宋体" w:hAnsi="宋体"/>
          <w:bCs/>
          <w:sz w:val="24"/>
          <w:szCs w:val="24"/>
        </w:rPr>
        <w:t>2、乙方所有工作成果的验收以甲方书面确认为准。</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八、保密</w:t>
      </w:r>
    </w:p>
    <w:p>
      <w:pPr>
        <w:tabs>
          <w:tab w:val="left" w:pos="900"/>
        </w:tabs>
        <w:adjustRightInd w:val="0"/>
        <w:snapToGrid w:val="0"/>
        <w:spacing w:line="312"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1、由甲方提供给乙方的所有资料、文件、图纸等，均被视为保密的，不得泄露给除甲方之外的人任何人、公司和其他单位，无论本合同因何种原因终止，本条款均一直有效，对乙方有约束力。如乙方违反此条款，</w:t>
      </w:r>
      <w:r>
        <w:rPr>
          <w:rFonts w:hint="eastAsia" w:asciiTheme="minorEastAsia" w:hAnsiTheme="minorEastAsia" w:eastAsiaTheme="minorEastAsia"/>
          <w:spacing w:val="-4"/>
          <w:sz w:val="24"/>
          <w:szCs w:val="24"/>
          <w:lang w:val="zh-TW" w:eastAsia="zh-TW"/>
        </w:rPr>
        <w:t>甲方随时有权就此要求做出相关赔偿。</w:t>
      </w:r>
    </w:p>
    <w:p>
      <w:pPr>
        <w:tabs>
          <w:tab w:val="left" w:pos="900"/>
        </w:tabs>
        <w:adjustRightInd w:val="0"/>
        <w:snapToGrid w:val="0"/>
        <w:spacing w:line="312" w:lineRule="auto"/>
        <w:ind w:firstLine="464" w:firstLineChars="200"/>
        <w:rPr>
          <w:rFonts w:asciiTheme="minorEastAsia" w:hAnsiTheme="minorEastAsia" w:eastAsiaTheme="minorEastAsia"/>
          <w:spacing w:val="-4"/>
          <w:sz w:val="24"/>
          <w:szCs w:val="24"/>
          <w:lang w:val="zh-TW" w:eastAsia="zh-TW"/>
        </w:rPr>
      </w:pPr>
      <w:r>
        <w:rPr>
          <w:rFonts w:hint="eastAsia" w:asciiTheme="minorEastAsia" w:hAnsiTheme="minorEastAsia" w:eastAsiaTheme="minorEastAsia"/>
          <w:spacing w:val="-4"/>
          <w:sz w:val="24"/>
          <w:szCs w:val="24"/>
        </w:rPr>
        <w:t>2.</w:t>
      </w:r>
      <w:r>
        <w:rPr>
          <w:rFonts w:hint="eastAsia" w:asciiTheme="minorEastAsia" w:hAnsiTheme="minorEastAsia" w:eastAsiaTheme="minorEastAsia"/>
          <w:spacing w:val="-4"/>
          <w:sz w:val="24"/>
          <w:szCs w:val="24"/>
          <w:lang w:val="zh-TW" w:eastAsia="zh-TW"/>
        </w:rPr>
        <w:t>乙方应采取适当措施对本项目的资料或信息予以保密，未经甲方的书面同意，不得泄露给任何第三方，否则甲方有权立即终止合同，及停止支付相关费用，并有权就此要求乙方做出赔偿。</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3.本保密条款持续有效，不受合同期限的限制，在本合同期限到期后，乙方仍具有保密义务。</w:t>
      </w:r>
    </w:p>
    <w:p>
      <w:pPr>
        <w:spacing w:line="360" w:lineRule="auto"/>
        <w:ind w:firstLine="482" w:firstLineChars="200"/>
        <w:rPr>
          <w:rFonts w:ascii="宋体" w:hAnsi="宋体"/>
          <w:b/>
          <w:bCs/>
          <w:sz w:val="24"/>
          <w:szCs w:val="24"/>
        </w:rPr>
      </w:pPr>
      <w:r>
        <w:rPr>
          <w:rFonts w:hint="eastAsia" w:ascii="宋体" w:hAnsi="宋体"/>
          <w:b/>
          <w:bCs/>
          <w:sz w:val="24"/>
          <w:szCs w:val="24"/>
        </w:rPr>
        <w:t>九、知识产权</w:t>
      </w:r>
    </w:p>
    <w:p>
      <w:pPr>
        <w:spacing w:line="360" w:lineRule="auto"/>
        <w:ind w:firstLine="480" w:firstLineChars="200"/>
        <w:rPr>
          <w:rFonts w:ascii="宋体" w:hAnsi="宋体"/>
          <w:bCs/>
          <w:sz w:val="24"/>
          <w:szCs w:val="24"/>
        </w:rPr>
      </w:pPr>
      <w:r>
        <w:rPr>
          <w:rFonts w:hint="eastAsia" w:ascii="宋体" w:hAnsi="宋体"/>
          <w:bCs/>
          <w:sz w:val="24"/>
          <w:szCs w:val="24"/>
        </w:rPr>
        <w:t>1、双方约定：因履行本合同所产生的研究成果及其相关知识产权权利归属甲方所有，甲方有权将研究成果交给其他公司和个人，乙方未经甲方书面允许不得擅自使用或提供给任何第三方。</w:t>
      </w:r>
    </w:p>
    <w:p>
      <w:pPr>
        <w:spacing w:line="360" w:lineRule="auto"/>
        <w:ind w:firstLine="480" w:firstLineChars="200"/>
        <w:rPr>
          <w:rFonts w:ascii="宋体" w:hAnsi="宋体"/>
          <w:bCs/>
          <w:sz w:val="24"/>
          <w:szCs w:val="24"/>
        </w:rPr>
      </w:pPr>
      <w:r>
        <w:rPr>
          <w:rFonts w:hint="eastAsia" w:ascii="宋体" w:hAnsi="宋体"/>
          <w:bCs/>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rFonts w:ascii="宋体" w:hAnsi="宋体"/>
          <w:bCs/>
          <w:sz w:val="24"/>
          <w:szCs w:val="24"/>
        </w:rPr>
      </w:pPr>
      <w:r>
        <w:rPr>
          <w:rFonts w:hint="eastAsia" w:ascii="宋体" w:hAnsi="宋体"/>
          <w:bCs/>
          <w:sz w:val="24"/>
          <w:szCs w:val="24"/>
        </w:rPr>
        <w:t>3、</w:t>
      </w:r>
      <w:r>
        <w:rPr>
          <w:rFonts w:hint="eastAsia" w:cs="宋体" w:asciiTheme="minorEastAsia" w:hAnsiTheme="minorEastAsia" w:eastAsiaTheme="minorEastAsia"/>
          <w:spacing w:val="-4"/>
          <w:sz w:val="24"/>
          <w:szCs w:val="24"/>
          <w:lang w:val="zh-TW" w:eastAsia="zh-TW"/>
        </w:rPr>
        <w:t>乙方提供的成果或服务，如使用第三人专利、专有技术、技术秘密、商业秘密、著作权、商标权等知识产权的，应当在</w:t>
      </w:r>
      <w:r>
        <w:rPr>
          <w:rFonts w:hint="eastAsia" w:cs="宋体" w:asciiTheme="minorEastAsia" w:hAnsiTheme="minorEastAsia" w:eastAsiaTheme="minorEastAsia"/>
          <w:spacing w:val="-4"/>
          <w:sz w:val="24"/>
          <w:szCs w:val="24"/>
        </w:rPr>
        <w:t>使用前</w:t>
      </w:r>
      <w:r>
        <w:rPr>
          <w:rFonts w:hint="eastAsia" w:cs="宋体" w:asciiTheme="minorEastAsia" w:hAnsiTheme="minorEastAsia" w:eastAsiaTheme="minorEastAsia"/>
          <w:spacing w:val="-4"/>
          <w:sz w:val="24"/>
          <w:szCs w:val="24"/>
          <w:lang w:val="zh-TW" w:eastAsia="zh-TW"/>
        </w:rPr>
        <w:t>向甲方提交权利人同意使用其知识产权的《使用许可》（书面形式）</w:t>
      </w:r>
      <w:r>
        <w:rPr>
          <w:rFonts w:hint="eastAsia" w:cs="宋体" w:asciiTheme="minorEastAsia" w:hAnsiTheme="minorEastAsia" w:eastAsiaTheme="minorEastAsia"/>
          <w:spacing w:val="-4"/>
          <w:sz w:val="24"/>
          <w:szCs w:val="24"/>
        </w:rPr>
        <w:t>或其他证明乙方获得合法来源的书面文件</w:t>
      </w:r>
      <w:r>
        <w:rPr>
          <w:rFonts w:hint="eastAsia" w:cs="宋体" w:asciiTheme="minorEastAsia" w:hAnsiTheme="minorEastAsia" w:eastAsiaTheme="minorEastAsia"/>
          <w:spacing w:val="-4"/>
          <w:sz w:val="24"/>
          <w:szCs w:val="24"/>
          <w:lang w:val="zh-TW" w:eastAsia="zh-TW"/>
        </w:rPr>
        <w:t>，</w:t>
      </w:r>
      <w:r>
        <w:rPr>
          <w:rFonts w:hint="eastAsia" w:cs="宋体" w:asciiTheme="minorEastAsia" w:hAnsiTheme="minorEastAsia" w:eastAsiaTheme="minorEastAsia"/>
          <w:spacing w:val="-4"/>
          <w:sz w:val="24"/>
          <w:szCs w:val="24"/>
        </w:rPr>
        <w:t>并注明甲方的使用权限，</w:t>
      </w:r>
      <w:r>
        <w:rPr>
          <w:rFonts w:hint="eastAsia" w:cs="宋体" w:asciiTheme="minorEastAsia" w:hAnsiTheme="minorEastAsia" w:eastAsiaTheme="minorEastAsia"/>
          <w:spacing w:val="-4"/>
          <w:sz w:val="24"/>
          <w:szCs w:val="24"/>
          <w:lang w:val="zh-TW" w:eastAsia="zh-TW"/>
        </w:rPr>
        <w:t>相关知识产权使用费由乙方承担</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4、甲方因使用乙方提交的成果或服务被第三人指控侵权、提出异议或权利主张的，乙方应当与第三方协商解决，并承担由此给甲方造成的所有利益损失（包括但不限于甲方实际损失、赔偿、诉讼、仲裁费、律师费、财产保全费、差旅费、交通费等）。此种情况下，甲方有权解除合同。</w:t>
      </w:r>
    </w:p>
    <w:p>
      <w:pPr>
        <w:spacing w:line="360" w:lineRule="auto"/>
        <w:ind w:firstLine="480" w:firstLineChars="200"/>
        <w:rPr>
          <w:rFonts w:ascii="宋体" w:hAnsi="宋体"/>
          <w:bCs/>
          <w:sz w:val="24"/>
          <w:szCs w:val="24"/>
        </w:rPr>
      </w:pPr>
      <w:r>
        <w:rPr>
          <w:rFonts w:hint="eastAsia" w:ascii="宋体" w:hAnsi="宋体"/>
          <w:bCs/>
          <w:sz w:val="24"/>
          <w:szCs w:val="24"/>
        </w:rPr>
        <w:t>5、在甲方遵守本合同约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包括但不限于甲方实际损失、赔偿、诉讼、仲裁费、律师费、财产保全费、差旅费、交通费等），乙方承诺予以赔偿。</w:t>
      </w:r>
    </w:p>
    <w:p>
      <w:pPr>
        <w:spacing w:line="360" w:lineRule="auto"/>
        <w:ind w:firstLine="480" w:firstLineChars="200"/>
        <w:rPr>
          <w:rFonts w:ascii="宋体" w:hAnsi="宋体"/>
          <w:bCs/>
          <w:sz w:val="24"/>
          <w:szCs w:val="24"/>
        </w:rPr>
      </w:pPr>
      <w:r>
        <w:rPr>
          <w:rFonts w:hint="eastAsia" w:ascii="宋体" w:hAnsi="宋体"/>
          <w:bCs/>
          <w:sz w:val="24"/>
          <w:szCs w:val="24"/>
        </w:rPr>
        <w:t>6、</w:t>
      </w:r>
      <w:r>
        <w:rPr>
          <w:rFonts w:hint="eastAsia" w:cs="宋体" w:asciiTheme="minorEastAsia" w:hAnsiTheme="minorEastAsia" w:eastAsiaTheme="minorEastAsia"/>
          <w:spacing w:val="-4"/>
          <w:sz w:val="24"/>
          <w:szCs w:val="24"/>
          <w:lang w:val="zh-TW" w:eastAsia="zh-TW"/>
        </w:rPr>
        <w:t>乙方不得将本</w:t>
      </w:r>
      <w:r>
        <w:rPr>
          <w:rFonts w:hint="eastAsia" w:cs="宋体" w:asciiTheme="minorEastAsia" w:hAnsiTheme="minorEastAsia" w:eastAsiaTheme="minorEastAsia"/>
          <w:spacing w:val="-4"/>
          <w:sz w:val="24"/>
          <w:szCs w:val="24"/>
        </w:rPr>
        <w:t>合同</w:t>
      </w:r>
      <w:r>
        <w:rPr>
          <w:rFonts w:hint="eastAsia" w:cs="宋体" w:asciiTheme="minorEastAsia" w:hAnsiTheme="minorEastAsia" w:eastAsiaTheme="minorEastAsia"/>
          <w:spacing w:val="-4"/>
          <w:sz w:val="24"/>
          <w:szCs w:val="24"/>
          <w:lang w:val="zh-TW" w:eastAsia="zh-TW"/>
        </w:rPr>
        <w:t>项下产生的任何作品在未经过甲方书面许可的情况下以任何形式有偿或无偿的使用或转让或允许其他方使用、转让，乙方若确实存在需要使用上述产品的需要，应当向甲方提出书面的申请，并经过甲方许可的情况下在指定的授权范围，通过指定的授权方式，在一定的期限内使用，具体以甲方出具的授权书为准。乙方违反此约定，属于重大违约，因此给甲方造成任何损害，乙方承担承担赔偿责任，乙方还应按照本合同约定的违约条款向甲方支付违约金，对因此给甲方造成的负面影响，甲方有权要求乙方采取一切合理形式予以消除</w:t>
      </w:r>
      <w:r>
        <w:rPr>
          <w:rFonts w:hint="eastAsia" w:ascii="宋体" w:hAnsi="宋体"/>
          <w:bCs/>
          <w:sz w:val="24"/>
          <w:szCs w:val="24"/>
        </w:rPr>
        <w:t>。</w:t>
      </w:r>
    </w:p>
    <w:p>
      <w:pPr>
        <w:spacing w:line="360" w:lineRule="auto"/>
        <w:ind w:firstLine="482" w:firstLineChars="200"/>
        <w:rPr>
          <w:rFonts w:ascii="宋体" w:hAnsi="宋体"/>
          <w:b/>
          <w:bCs/>
          <w:sz w:val="24"/>
          <w:szCs w:val="24"/>
        </w:rPr>
      </w:pPr>
      <w:r>
        <w:rPr>
          <w:rFonts w:hint="eastAsia" w:ascii="宋体" w:hAnsi="宋体"/>
          <w:b/>
          <w:bCs/>
          <w:sz w:val="24"/>
          <w:szCs w:val="24"/>
        </w:rPr>
        <w:t>十、合同的变更与解除</w:t>
      </w:r>
    </w:p>
    <w:p>
      <w:pPr>
        <w:spacing w:line="360" w:lineRule="auto"/>
        <w:ind w:firstLine="480" w:firstLineChars="200"/>
        <w:rPr>
          <w:rFonts w:ascii="宋体" w:hAnsi="宋体"/>
          <w:bCs/>
          <w:sz w:val="24"/>
          <w:szCs w:val="24"/>
        </w:rPr>
      </w:pPr>
      <w:r>
        <w:rPr>
          <w:rFonts w:hint="eastAsia" w:ascii="宋体" w:hAnsi="宋体"/>
          <w:bCs/>
          <w:sz w:val="24"/>
          <w:szCs w:val="24"/>
        </w:rPr>
        <w:t>1、合同生效后，即具有法律约束力，除本合同另有约定外，任何一方不得随意变更或解除合同。</w:t>
      </w:r>
    </w:p>
    <w:p>
      <w:pPr>
        <w:spacing w:line="360" w:lineRule="auto"/>
        <w:ind w:firstLine="480" w:firstLineChars="200"/>
        <w:rPr>
          <w:rFonts w:ascii="宋体" w:hAnsi="宋体"/>
          <w:bCs/>
          <w:sz w:val="24"/>
          <w:szCs w:val="24"/>
        </w:rPr>
      </w:pPr>
      <w:r>
        <w:rPr>
          <w:rFonts w:hint="eastAsia" w:ascii="宋体" w:hAnsi="宋体"/>
          <w:bCs/>
          <w:sz w:val="24"/>
          <w:szCs w:val="24"/>
        </w:rPr>
        <w:t>2、合同履行期间，根据实际工作的需要，在合理范围内，甲方可对委托范围、工作内容、任务要求、项目进度、人员安排等具体事项进行正常的安排或适当调整，乙方应理解上述安排和调整，并根据这些安排和调整提供服务。本合同费用不因此安排或调整进行调整。</w:t>
      </w:r>
    </w:p>
    <w:p>
      <w:pPr>
        <w:spacing w:line="360" w:lineRule="auto"/>
        <w:ind w:firstLine="480" w:firstLineChars="200"/>
        <w:rPr>
          <w:rFonts w:ascii="宋体" w:hAnsi="宋体"/>
          <w:bCs/>
          <w:sz w:val="24"/>
          <w:szCs w:val="24"/>
        </w:rPr>
      </w:pPr>
      <w:r>
        <w:rPr>
          <w:rFonts w:hint="eastAsia" w:ascii="宋体" w:hAnsi="宋体"/>
          <w:bCs/>
          <w:sz w:val="24"/>
          <w:szCs w:val="24"/>
        </w:rPr>
        <w:t>3、如甲方安排乙方从事本项目工作范围以外的项目或其他额外项目，双方应按照本合同的规定，另行协商，并签订补充协议。</w:t>
      </w:r>
    </w:p>
    <w:p>
      <w:pPr>
        <w:spacing w:line="360" w:lineRule="auto"/>
        <w:ind w:firstLine="480" w:firstLineChars="200"/>
        <w:rPr>
          <w:rFonts w:ascii="宋体" w:hAnsi="宋体"/>
          <w:bCs/>
          <w:sz w:val="24"/>
          <w:szCs w:val="24"/>
        </w:rPr>
      </w:pPr>
      <w:r>
        <w:rPr>
          <w:rFonts w:hint="eastAsia" w:ascii="宋体" w:hAnsi="宋体"/>
          <w:bCs/>
          <w:sz w:val="24"/>
          <w:szCs w:val="24"/>
        </w:rPr>
        <w:t>4、如因甲方原因，本合同提前终止，甲方将根据乙方在接到甲方通知停止工作前，经甲方认可的实际完成工作量，分阶段按比例核算支付有关费用。除此</w:t>
      </w:r>
      <w:r>
        <w:rPr>
          <w:rFonts w:ascii="宋体" w:hAnsi="宋体"/>
          <w:bCs/>
          <w:sz w:val="24"/>
          <w:szCs w:val="24"/>
        </w:rPr>
        <w:t>之外，甲方不承担其他任何责任。</w:t>
      </w:r>
    </w:p>
    <w:p>
      <w:pPr>
        <w:spacing w:line="360" w:lineRule="auto"/>
        <w:ind w:firstLine="480" w:firstLineChars="200"/>
        <w:rPr>
          <w:rFonts w:ascii="宋体" w:hAnsi="宋体"/>
          <w:bCs/>
          <w:sz w:val="24"/>
          <w:szCs w:val="24"/>
        </w:rPr>
      </w:pPr>
      <w:r>
        <w:rPr>
          <w:rFonts w:hint="eastAsia" w:ascii="宋体" w:hAnsi="宋体"/>
          <w:bCs/>
          <w:sz w:val="24"/>
          <w:szCs w:val="24"/>
        </w:rPr>
        <w:t>5、如因乙方原因，本合同提前终止，除余款不予支付外，甲方还有权要求乙方</w:t>
      </w:r>
      <w:r>
        <w:rPr>
          <w:rFonts w:ascii="宋体" w:hAnsi="宋体"/>
          <w:bCs/>
          <w:sz w:val="24"/>
          <w:szCs w:val="24"/>
        </w:rPr>
        <w:t>返还甲方已支付费用，并赔偿</w:t>
      </w:r>
      <w:r>
        <w:rPr>
          <w:rFonts w:hint="eastAsia" w:ascii="宋体" w:hAnsi="宋体"/>
          <w:bCs/>
          <w:sz w:val="24"/>
          <w:szCs w:val="24"/>
        </w:rPr>
        <w:t>甲方</w:t>
      </w:r>
      <w:r>
        <w:rPr>
          <w:rFonts w:ascii="宋体" w:hAnsi="宋体"/>
          <w:bCs/>
          <w:sz w:val="24"/>
          <w:szCs w:val="24"/>
        </w:rPr>
        <w:t>损失。</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十一、合同终止</w:t>
      </w:r>
    </w:p>
    <w:p>
      <w:pPr>
        <w:spacing w:line="360" w:lineRule="auto"/>
        <w:ind w:firstLine="480" w:firstLineChars="200"/>
        <w:rPr>
          <w:rFonts w:ascii="宋体" w:hAnsi="宋体"/>
          <w:bCs/>
          <w:sz w:val="24"/>
          <w:szCs w:val="24"/>
        </w:rPr>
      </w:pPr>
      <w:r>
        <w:rPr>
          <w:rFonts w:hint="eastAsia" w:ascii="宋体" w:hAnsi="宋体"/>
          <w:bCs/>
          <w:sz w:val="24"/>
          <w:szCs w:val="24"/>
        </w:rPr>
        <w:t>1、本合同约定工作任务完成后，合同自行终止。</w:t>
      </w:r>
    </w:p>
    <w:p>
      <w:pPr>
        <w:spacing w:line="360" w:lineRule="auto"/>
        <w:ind w:firstLine="480" w:firstLineChars="200"/>
        <w:rPr>
          <w:rFonts w:ascii="宋体" w:hAnsi="宋体"/>
          <w:bCs/>
          <w:sz w:val="24"/>
          <w:szCs w:val="24"/>
        </w:rPr>
      </w:pPr>
      <w:r>
        <w:rPr>
          <w:rFonts w:hint="eastAsia" w:ascii="宋体" w:hAnsi="宋体"/>
          <w:bCs/>
          <w:sz w:val="24"/>
          <w:szCs w:val="24"/>
        </w:rPr>
        <w:t>2、由于不可抗力的因素导致合同无法完全履行时，经双方协商，可以变更或终止合同。甲方将根据乙方在接到甲方通知停止工作前，经甲方认可的实际完成工作量，分阶段按比例核算支付有关费用。</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十二、违约责任</w:t>
      </w:r>
    </w:p>
    <w:p>
      <w:pPr>
        <w:spacing w:line="360" w:lineRule="auto"/>
        <w:ind w:firstLine="480" w:firstLineChars="200"/>
        <w:rPr>
          <w:rFonts w:ascii="宋体" w:hAnsi="宋体"/>
          <w:bCs/>
          <w:sz w:val="24"/>
          <w:szCs w:val="24"/>
        </w:rPr>
      </w:pPr>
      <w:r>
        <w:rPr>
          <w:rFonts w:hint="eastAsia" w:ascii="宋体" w:hAnsi="宋体"/>
          <w:bCs/>
          <w:sz w:val="24"/>
          <w:szCs w:val="24"/>
        </w:rPr>
        <w:t>1.因乙方原因，不能按时提交经过甲方认可的策划服务成果，延迟一日按合同总价的</w:t>
      </w:r>
      <w:r>
        <w:rPr>
          <w:rFonts w:hint="eastAsia" w:ascii="宋体" w:hAnsi="宋体"/>
          <w:bCs/>
          <w:sz w:val="24"/>
          <w:szCs w:val="24"/>
          <w:u w:val="single"/>
        </w:rPr>
        <w:t>0.3%</w:t>
      </w:r>
      <w:r>
        <w:rPr>
          <w:rFonts w:hint="eastAsia" w:ascii="宋体" w:hAnsi="宋体"/>
          <w:bCs/>
          <w:sz w:val="24"/>
          <w:szCs w:val="24"/>
        </w:rPr>
        <w:t>向甲方支付违约金。延迟超过</w:t>
      </w:r>
      <w:r>
        <w:rPr>
          <w:rFonts w:hint="eastAsia" w:ascii="宋体" w:hAnsi="宋体"/>
          <w:bCs/>
          <w:sz w:val="24"/>
          <w:szCs w:val="24"/>
          <w:u w:val="single"/>
        </w:rPr>
        <w:t>15</w:t>
      </w:r>
      <w:r>
        <w:rPr>
          <w:rFonts w:hint="eastAsia" w:ascii="宋体" w:hAnsi="宋体"/>
          <w:bCs/>
          <w:sz w:val="24"/>
          <w:szCs w:val="24"/>
        </w:rPr>
        <w:t>日的，甲方有权单方解除合同；</w:t>
      </w:r>
    </w:p>
    <w:p>
      <w:pPr>
        <w:spacing w:line="360" w:lineRule="auto"/>
        <w:ind w:firstLine="480" w:firstLineChars="200"/>
        <w:rPr>
          <w:rFonts w:ascii="宋体" w:hAnsi="宋体"/>
          <w:bCs/>
          <w:sz w:val="24"/>
          <w:szCs w:val="24"/>
        </w:rPr>
      </w:pPr>
      <w:r>
        <w:rPr>
          <w:rFonts w:hint="eastAsia" w:ascii="宋体" w:hAnsi="宋体"/>
          <w:bCs/>
          <w:sz w:val="24"/>
          <w:szCs w:val="24"/>
        </w:rPr>
        <w:t>2.如乙方提交的各阶段工作成果，经甲方两次审查仍未通过的，甲方有权解除合同；</w:t>
      </w:r>
    </w:p>
    <w:p>
      <w:pPr>
        <w:spacing w:line="360" w:lineRule="auto"/>
        <w:ind w:firstLine="480" w:firstLineChars="200"/>
        <w:rPr>
          <w:rFonts w:ascii="宋体" w:hAnsi="宋体"/>
          <w:bCs/>
          <w:sz w:val="24"/>
          <w:szCs w:val="24"/>
        </w:rPr>
      </w:pPr>
      <w:r>
        <w:rPr>
          <w:rFonts w:hint="eastAsia" w:ascii="宋体" w:hAnsi="宋体"/>
          <w:bCs/>
          <w:sz w:val="24"/>
          <w:szCs w:val="24"/>
        </w:rPr>
        <w:t>3.如果乙方违反本合同知识产权条款约定的义务，甲方有权解除合同，乙方应当向甲方支付合同价款10%的违约金。如造成甲方损失的，乙方应赔偿甲方损失；</w:t>
      </w:r>
    </w:p>
    <w:p>
      <w:pPr>
        <w:spacing w:line="360" w:lineRule="auto"/>
        <w:ind w:firstLine="480" w:firstLineChars="200"/>
        <w:rPr>
          <w:rFonts w:ascii="宋体" w:hAnsi="宋体"/>
          <w:bCs/>
          <w:sz w:val="24"/>
          <w:szCs w:val="24"/>
        </w:rPr>
      </w:pPr>
      <w:r>
        <w:rPr>
          <w:rFonts w:hint="eastAsia" w:ascii="宋体" w:hAnsi="宋体"/>
          <w:bCs/>
          <w:sz w:val="24"/>
          <w:szCs w:val="24"/>
        </w:rPr>
        <w:t>4.因乙方原因甲方解除合同的，除另外约定外，甲方有权要求乙方支付合同总价10%的违约金。若违约金不足以弥补甲方损失的，乙方还须赔偿甲方损失。乙方的所有违约金、赔偿金由甲方在应支付的策划服务费中扣除。</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十三、争议的解决</w:t>
      </w:r>
    </w:p>
    <w:p>
      <w:pPr>
        <w:spacing w:line="360" w:lineRule="auto"/>
        <w:ind w:firstLine="480" w:firstLineChars="200"/>
        <w:rPr>
          <w:rFonts w:ascii="宋体" w:hAnsi="宋体"/>
          <w:bCs/>
          <w:sz w:val="24"/>
          <w:szCs w:val="24"/>
        </w:rPr>
      </w:pPr>
      <w:r>
        <w:rPr>
          <w:rFonts w:hint="eastAsia" w:ascii="宋体" w:hAnsi="宋体"/>
          <w:bCs/>
          <w:sz w:val="24"/>
          <w:szCs w:val="24"/>
        </w:rPr>
        <w:t>甲乙双方因执行本合同产生的争议，经双方协商不能解决的，任意一方均有权将争议提交甲方所在</w:t>
      </w:r>
      <w:r>
        <w:rPr>
          <w:rFonts w:ascii="宋体" w:hAnsi="宋体"/>
          <w:bCs/>
          <w:sz w:val="24"/>
          <w:szCs w:val="24"/>
        </w:rPr>
        <w:t>地人民法院诉讼</w:t>
      </w:r>
      <w:r>
        <w:rPr>
          <w:rFonts w:hint="eastAsia" w:ascii="宋体" w:hAnsi="宋体"/>
          <w:bCs/>
          <w:sz w:val="24"/>
          <w:szCs w:val="24"/>
        </w:rPr>
        <w:t>。</w:t>
      </w:r>
    </w:p>
    <w:p>
      <w:pPr>
        <w:spacing w:line="360" w:lineRule="auto"/>
        <w:ind w:firstLine="480" w:firstLineChars="200"/>
        <w:rPr>
          <w:rFonts w:ascii="宋体" w:hAnsi="宋体"/>
          <w:bCs/>
          <w:sz w:val="24"/>
          <w:szCs w:val="24"/>
        </w:rPr>
      </w:pPr>
    </w:p>
    <w:p>
      <w:pPr>
        <w:spacing w:line="360" w:lineRule="auto"/>
        <w:ind w:firstLine="361" w:firstLineChars="150"/>
        <w:rPr>
          <w:rFonts w:ascii="宋体" w:hAnsi="宋体"/>
          <w:b/>
          <w:bCs/>
          <w:color w:val="000000"/>
          <w:sz w:val="24"/>
          <w:szCs w:val="24"/>
        </w:rPr>
      </w:pPr>
      <w:r>
        <w:rPr>
          <w:rFonts w:hint="eastAsia" w:ascii="宋体" w:hAnsi="宋体"/>
          <w:b/>
          <w:bCs/>
          <w:color w:val="000000"/>
          <w:sz w:val="24"/>
          <w:szCs w:val="24"/>
        </w:rPr>
        <w:t>十四、其它</w:t>
      </w:r>
      <w:bookmarkEnd w:id="112"/>
      <w:bookmarkEnd w:id="113"/>
    </w:p>
    <w:p>
      <w:pPr>
        <w:spacing w:line="360" w:lineRule="auto"/>
        <w:ind w:firstLine="480" w:firstLineChars="200"/>
        <w:rPr>
          <w:rFonts w:ascii="宋体" w:hAnsi="宋体"/>
          <w:sz w:val="24"/>
          <w:szCs w:val="24"/>
        </w:rPr>
      </w:pPr>
      <w:bookmarkStart w:id="114" w:name="_Toc359596787"/>
      <w:r>
        <w:rPr>
          <w:rFonts w:hint="eastAsia" w:ascii="宋体" w:hAnsi="宋体"/>
          <w:sz w:val="24"/>
          <w:szCs w:val="24"/>
        </w:rPr>
        <w:t>1、本合同自双方法定代表人或授权代表签字，并加盖公章或</w:t>
      </w:r>
      <w:r>
        <w:rPr>
          <w:rFonts w:ascii="宋体" w:hAnsi="宋体"/>
          <w:sz w:val="24"/>
          <w:szCs w:val="24"/>
        </w:rPr>
        <w:t>合同专用章</w:t>
      </w:r>
      <w:r>
        <w:rPr>
          <w:rFonts w:hint="eastAsia" w:ascii="宋体" w:hAnsi="宋体"/>
          <w:sz w:val="24"/>
          <w:szCs w:val="24"/>
        </w:rPr>
        <w:t>后生效。</w:t>
      </w:r>
    </w:p>
    <w:p>
      <w:pPr>
        <w:spacing w:line="360" w:lineRule="auto"/>
        <w:ind w:firstLine="480" w:firstLineChars="200"/>
        <w:rPr>
          <w:rFonts w:ascii="宋体" w:hAnsi="宋体"/>
          <w:sz w:val="24"/>
          <w:szCs w:val="24"/>
        </w:rPr>
      </w:pPr>
      <w:r>
        <w:rPr>
          <w:rFonts w:hint="eastAsia" w:ascii="宋体" w:hAnsi="宋体"/>
          <w:sz w:val="24"/>
          <w:szCs w:val="24"/>
        </w:rPr>
        <w:t>2、本合同的任何修改或未尽事宜，须由双方协商同意并另行签订补充合同。</w:t>
      </w:r>
    </w:p>
    <w:p>
      <w:pPr>
        <w:spacing w:line="360" w:lineRule="auto"/>
        <w:ind w:firstLine="480" w:firstLineChars="200"/>
        <w:rPr>
          <w:rFonts w:ascii="宋体" w:hAnsi="宋体"/>
          <w:sz w:val="24"/>
          <w:szCs w:val="24"/>
        </w:rPr>
      </w:pPr>
      <w:r>
        <w:rPr>
          <w:rFonts w:hint="eastAsia" w:ascii="宋体" w:hAnsi="宋体"/>
          <w:sz w:val="24"/>
          <w:szCs w:val="24"/>
        </w:rPr>
        <w:t>3、本合同共拾份，正本一式贰份，甲乙双方各执壹份；副本一式捌份，甲方</w:t>
      </w:r>
      <w:r>
        <w:rPr>
          <w:rFonts w:ascii="宋体" w:hAnsi="宋体"/>
          <w:sz w:val="24"/>
          <w:szCs w:val="24"/>
        </w:rPr>
        <w:t>柒</w:t>
      </w:r>
      <w:r>
        <w:rPr>
          <w:rFonts w:hint="eastAsia" w:ascii="宋体" w:hAnsi="宋体"/>
          <w:sz w:val="24"/>
          <w:szCs w:val="24"/>
        </w:rPr>
        <w:t>份，乙方壹份。正副本具有同等法律效力，出现不一致时，以正本为准。</w:t>
      </w:r>
    </w:p>
    <w:p>
      <w:pPr>
        <w:spacing w:line="360" w:lineRule="auto"/>
        <w:ind w:firstLine="361" w:firstLineChars="150"/>
        <w:rPr>
          <w:rFonts w:ascii="宋体" w:hAnsi="宋体"/>
          <w:b/>
          <w:bCs/>
          <w:color w:val="000000"/>
          <w:sz w:val="24"/>
          <w:szCs w:val="24"/>
        </w:rPr>
      </w:pPr>
      <w:bookmarkStart w:id="115" w:name="_Toc73086607"/>
      <w:bookmarkStart w:id="116" w:name="_Toc389833598"/>
      <w:bookmarkStart w:id="117" w:name="_Toc29995576"/>
      <w:bookmarkStart w:id="118" w:name="_Toc73087067"/>
      <w:bookmarkStart w:id="119" w:name="_Toc73364393"/>
      <w:r>
        <w:rPr>
          <w:rFonts w:hint="eastAsia" w:ascii="宋体" w:hAnsi="宋体"/>
          <w:b/>
          <w:bCs/>
          <w:color w:val="000000"/>
          <w:sz w:val="24"/>
          <w:szCs w:val="24"/>
        </w:rPr>
        <w:t>十五、合同附件</w:t>
      </w:r>
      <w:bookmarkEnd w:id="114"/>
      <w:bookmarkEnd w:id="115"/>
      <w:bookmarkEnd w:id="116"/>
      <w:bookmarkEnd w:id="117"/>
      <w:bookmarkEnd w:id="118"/>
      <w:bookmarkEnd w:id="119"/>
    </w:p>
    <w:p>
      <w:pPr>
        <w:spacing w:line="360" w:lineRule="auto"/>
        <w:ind w:firstLine="480" w:firstLineChars="200"/>
        <w:rPr>
          <w:rFonts w:ascii="宋体" w:hAnsi="宋体"/>
          <w:sz w:val="24"/>
          <w:szCs w:val="24"/>
        </w:rPr>
      </w:pPr>
      <w:r>
        <w:rPr>
          <w:rFonts w:hint="eastAsia" w:ascii="宋体" w:hAnsi="宋体"/>
          <w:sz w:val="24"/>
          <w:szCs w:val="24"/>
        </w:rPr>
        <w:t>《项目服务团队架构及人员组成》</w:t>
      </w:r>
    </w:p>
    <w:p>
      <w:pPr>
        <w:spacing w:line="360" w:lineRule="auto"/>
        <w:rPr>
          <w:rFonts w:ascii="宋体" w:hAnsi="宋体"/>
          <w:b/>
          <w:sz w:val="44"/>
          <w:szCs w:val="44"/>
        </w:rPr>
      </w:pPr>
    </w:p>
    <w:tbl>
      <w:tblPr>
        <w:tblStyle w:val="47"/>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sz w:val="30"/>
                <w:szCs w:val="30"/>
              </w:rPr>
            </w:pPr>
            <w:r>
              <w:rPr>
                <w:rFonts w:hint="eastAsia" w:ascii="宋体" w:hAnsi="宋体"/>
                <w:b/>
                <w:sz w:val="30"/>
                <w:szCs w:val="30"/>
              </w:rPr>
              <w:t>甲方（盖</w:t>
            </w:r>
            <w:r>
              <w:rPr>
                <w:rFonts w:ascii="宋体" w:hAnsi="宋体"/>
                <w:b/>
                <w:sz w:val="30"/>
                <w:szCs w:val="30"/>
              </w:rPr>
              <w:t>章)：</w:t>
            </w:r>
          </w:p>
        </w:tc>
        <w:tc>
          <w:tcPr>
            <w:tcW w:w="2827" w:type="dxa"/>
            <w:gridSpan w:val="3"/>
          </w:tcPr>
          <w:p>
            <w:pPr>
              <w:spacing w:before="25" w:line="240" w:lineRule="atLeast"/>
              <w:rPr>
                <w:rFonts w:ascii="宋体" w:hAnsi="宋体"/>
                <w:b/>
                <w:sz w:val="28"/>
                <w:szCs w:val="28"/>
              </w:rPr>
            </w:pPr>
          </w:p>
        </w:tc>
        <w:tc>
          <w:tcPr>
            <w:tcW w:w="2108"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1026" w:hRule="exact"/>
        </w:trPr>
        <w:tc>
          <w:tcPr>
            <w:tcW w:w="2277" w:type="dxa"/>
          </w:tcPr>
          <w:p>
            <w:pPr>
              <w:rPr>
                <w:rFonts w:ascii="宋体" w:hAnsi="宋体"/>
                <w:sz w:val="24"/>
              </w:rPr>
            </w:pPr>
            <w:r>
              <w:rPr>
                <w:rFonts w:ascii="宋体" w:hAnsi="宋体"/>
                <w:sz w:val="24"/>
              </w:rPr>
              <w:t>住    所：</w:t>
            </w:r>
          </w:p>
        </w:tc>
        <w:tc>
          <w:tcPr>
            <w:tcW w:w="2827" w:type="dxa"/>
            <w:gridSpan w:val="3"/>
          </w:tcPr>
          <w:p>
            <w:pPr>
              <w:rPr>
                <w:rFonts w:ascii="宋体" w:hAnsi="宋体"/>
                <w:sz w:val="24"/>
              </w:rPr>
            </w:pPr>
          </w:p>
        </w:tc>
        <w:tc>
          <w:tcPr>
            <w:tcW w:w="2108" w:type="dxa"/>
          </w:tcPr>
          <w:p>
            <w:pPr>
              <w:rPr>
                <w:rFonts w:ascii="宋体" w:hAnsi="宋体"/>
                <w:sz w:val="24"/>
              </w:rPr>
            </w:pP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477" w:hRule="exact"/>
        </w:trPr>
        <w:tc>
          <w:tcPr>
            <w:tcW w:w="2277" w:type="dxa"/>
          </w:tcPr>
          <w:p>
            <w:pPr>
              <w:rPr>
                <w:rFonts w:ascii="宋体" w:hAnsi="宋体"/>
                <w:sz w:val="24"/>
              </w:rPr>
            </w:pPr>
            <w:r>
              <w:rPr>
                <w:rFonts w:ascii="宋体" w:hAnsi="宋体"/>
                <w:sz w:val="24"/>
              </w:rPr>
              <w:t>电    话：</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传    真：</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519" w:hRule="exact"/>
        </w:trPr>
        <w:tc>
          <w:tcPr>
            <w:tcW w:w="2277" w:type="dxa"/>
          </w:tcPr>
          <w:p>
            <w:pPr>
              <w:rPr>
                <w:rFonts w:ascii="宋体" w:hAnsi="宋体"/>
                <w:sz w:val="24"/>
              </w:rPr>
            </w:pPr>
            <w:r>
              <w:rPr>
                <w:rFonts w:ascii="宋体" w:hAnsi="宋体"/>
                <w:sz w:val="24"/>
              </w:rPr>
              <w:t>开户银行：</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开户全名：</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邮政编码：</w:t>
            </w:r>
          </w:p>
        </w:tc>
        <w:tc>
          <w:tcPr>
            <w:tcW w:w="3137" w:type="dxa"/>
            <w:gridSpan w:val="2"/>
          </w:tcPr>
          <w:p>
            <w:pPr>
              <w:rPr>
                <w:rFonts w:ascii="宋体" w:hAnsi="宋体"/>
                <w:sz w:val="24"/>
              </w:rPr>
            </w:pPr>
            <w:r>
              <w:rPr>
                <w:rFonts w:ascii="宋体" w:hAnsi="宋体"/>
                <w:sz w:val="24"/>
              </w:rPr>
              <w:t>518026</w:t>
            </w:r>
          </w:p>
        </w:tc>
      </w:tr>
      <w:tr>
        <w:tblPrEx>
          <w:tblCellMar>
            <w:top w:w="0" w:type="dxa"/>
            <w:left w:w="108" w:type="dxa"/>
            <w:bottom w:w="0" w:type="dxa"/>
            <w:right w:w="108" w:type="dxa"/>
          </w:tblCellMar>
        </w:tblPrEx>
        <w:trPr>
          <w:trHeight w:val="998" w:hRule="exact"/>
        </w:trPr>
        <w:tc>
          <w:tcPr>
            <w:tcW w:w="2277" w:type="dxa"/>
          </w:tcPr>
          <w:p>
            <w:pPr>
              <w:rPr>
                <w:rFonts w:ascii="宋体" w:hAnsi="宋体"/>
                <w:sz w:val="24"/>
              </w:rPr>
            </w:pPr>
            <w:r>
              <w:rPr>
                <w:rFonts w:hint="eastAsia" w:ascii="宋体" w:hAnsi="宋体"/>
                <w:sz w:val="24"/>
              </w:rPr>
              <w:t>项目主管部门经办人及电话：</w:t>
            </w:r>
          </w:p>
        </w:tc>
        <w:tc>
          <w:tcPr>
            <w:tcW w:w="2827" w:type="dxa"/>
            <w:gridSpan w:val="3"/>
          </w:tcPr>
          <w:p>
            <w:pPr>
              <w:rPr>
                <w:rFonts w:ascii="宋体" w:hAnsi="宋体"/>
                <w:szCs w:val="21"/>
              </w:rPr>
            </w:pPr>
            <w:r>
              <w:rPr>
                <w:rFonts w:hint="eastAsia" w:ascii="宋体" w:hAnsi="宋体"/>
                <w:szCs w:val="21"/>
              </w:rPr>
              <w:t xml:space="preserve"> </w:t>
            </w:r>
          </w:p>
        </w:tc>
        <w:tc>
          <w:tcPr>
            <w:tcW w:w="2108" w:type="dxa"/>
          </w:tcPr>
          <w:p>
            <w:pPr>
              <w:rPr>
                <w:rFonts w:ascii="宋体" w:hAnsi="宋体"/>
                <w:sz w:val="24"/>
              </w:rPr>
            </w:pPr>
            <w:r>
              <w:rPr>
                <w:rFonts w:hint="eastAsia" w:ascii="宋体" w:hAnsi="宋体"/>
                <w:sz w:val="24"/>
              </w:rPr>
              <w:t>项目主管部门审核人：</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012" w:hRule="exact"/>
        </w:trPr>
        <w:tc>
          <w:tcPr>
            <w:tcW w:w="2277" w:type="dxa"/>
          </w:tcPr>
          <w:p>
            <w:pPr>
              <w:rPr>
                <w:rFonts w:ascii="宋体" w:hAnsi="宋体"/>
                <w:sz w:val="24"/>
              </w:rPr>
            </w:pPr>
            <w:r>
              <w:rPr>
                <w:rFonts w:hint="eastAsia" w:ascii="宋体" w:hAnsi="宋体"/>
                <w:sz w:val="24"/>
              </w:rPr>
              <w:t>合约部门经办人及电话:</w:t>
            </w:r>
          </w:p>
          <w:p>
            <w:pPr>
              <w:rPr>
                <w:rFonts w:ascii="宋体" w:hAnsi="宋体"/>
                <w:sz w:val="24"/>
              </w:rPr>
            </w:pPr>
          </w:p>
          <w:p>
            <w:pPr>
              <w:rPr>
                <w:rFonts w:ascii="宋体" w:hAnsi="宋体"/>
                <w:sz w:val="24"/>
              </w:rPr>
            </w:pPr>
          </w:p>
        </w:tc>
        <w:tc>
          <w:tcPr>
            <w:tcW w:w="2827" w:type="dxa"/>
            <w:gridSpan w:val="3"/>
          </w:tcPr>
          <w:p>
            <w:pPr>
              <w:rPr>
                <w:rFonts w:ascii="宋体" w:hAnsi="宋体"/>
                <w:szCs w:val="21"/>
              </w:rPr>
            </w:pPr>
            <w:r>
              <w:rPr>
                <w:rFonts w:hint="eastAsia" w:ascii="宋体" w:hAnsi="宋体"/>
                <w:sz w:val="24"/>
              </w:rPr>
              <w:t xml:space="preserve"> </w:t>
            </w:r>
          </w:p>
        </w:tc>
        <w:tc>
          <w:tcPr>
            <w:tcW w:w="2108" w:type="dxa"/>
          </w:tcPr>
          <w:p>
            <w:pPr>
              <w:rPr>
                <w:rFonts w:ascii="宋体" w:hAnsi="宋体"/>
                <w:sz w:val="24"/>
              </w:rPr>
            </w:pPr>
            <w:r>
              <w:rPr>
                <w:rFonts w:hint="eastAsia" w:ascii="宋体" w:hAnsi="宋体"/>
                <w:sz w:val="24"/>
              </w:rPr>
              <w:t>合约部门审核人：</w:t>
            </w:r>
          </w:p>
        </w:tc>
        <w:tc>
          <w:tcPr>
            <w:tcW w:w="3137" w:type="dxa"/>
            <w:gridSpan w:val="2"/>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sz w:val="24"/>
              </w:rPr>
            </w:pPr>
          </w:p>
        </w:tc>
        <w:tc>
          <w:tcPr>
            <w:tcW w:w="2108" w:type="dxa"/>
          </w:tcPr>
          <w:p>
            <w:pPr>
              <w:rPr>
                <w:rFonts w:ascii="宋体" w:hAnsi="宋体"/>
                <w:sz w:val="24"/>
              </w:rPr>
            </w:pPr>
          </w:p>
        </w:tc>
        <w:tc>
          <w:tcPr>
            <w:tcW w:w="3137" w:type="dxa"/>
            <w:gridSpan w:val="3"/>
          </w:tcPr>
          <w:p>
            <w:pPr>
              <w:rPr>
                <w:rFonts w:ascii="宋体" w:hAnsi="宋体"/>
                <w:szCs w:val="21"/>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sz w:val="30"/>
                <w:szCs w:val="30"/>
              </w:rPr>
            </w:pPr>
            <w:r>
              <w:rPr>
                <w:rFonts w:hint="eastAsia" w:ascii="宋体" w:hAnsi="宋体"/>
                <w:b/>
                <w:sz w:val="30"/>
                <w:szCs w:val="30"/>
              </w:rPr>
              <w:t>乙方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27" w:type="dxa"/>
            <w:gridSpan w:val="3"/>
          </w:tcPr>
          <w:p>
            <w:pPr>
              <w:rPr>
                <w:rFonts w:ascii="宋体" w:hAnsi="宋体"/>
                <w:b/>
                <w:sz w:val="30"/>
                <w:szCs w:val="30"/>
              </w:rPr>
            </w:pPr>
          </w:p>
        </w:tc>
        <w:tc>
          <w:tcPr>
            <w:tcW w:w="2108" w:type="dxa"/>
          </w:tcPr>
          <w:p>
            <w:pPr>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607" w:hRule="exact"/>
        </w:trPr>
        <w:tc>
          <w:tcPr>
            <w:tcW w:w="2277" w:type="dxa"/>
          </w:tcPr>
          <w:p>
            <w:pPr>
              <w:rPr>
                <w:rFonts w:ascii="宋体" w:hAnsi="宋体"/>
                <w:sz w:val="24"/>
              </w:rPr>
            </w:pPr>
            <w:r>
              <w:rPr>
                <w:rFonts w:ascii="宋体" w:hAnsi="宋体"/>
                <w:sz w:val="24"/>
              </w:rPr>
              <w:t>住    所：</w:t>
            </w:r>
          </w:p>
        </w:tc>
        <w:tc>
          <w:tcPr>
            <w:tcW w:w="2827" w:type="dxa"/>
            <w:gridSpan w:val="3"/>
          </w:tcPr>
          <w:p>
            <w:pPr>
              <w:rPr>
                <w:rFonts w:ascii="宋体" w:hAnsi="宋体"/>
                <w:sz w:val="24"/>
              </w:rPr>
            </w:pPr>
          </w:p>
          <w:p>
            <w:pPr>
              <w:rPr>
                <w:rFonts w:ascii="宋体" w:hAnsi="宋体"/>
                <w:sz w:val="24"/>
              </w:rPr>
            </w:pPr>
          </w:p>
          <w:p>
            <w:pPr>
              <w:rPr>
                <w:rFonts w:ascii="宋体" w:hAnsi="宋体"/>
                <w:sz w:val="24"/>
              </w:rPr>
            </w:pPr>
          </w:p>
        </w:tc>
        <w:tc>
          <w:tcPr>
            <w:tcW w:w="2108" w:type="dxa"/>
          </w:tcPr>
          <w:p>
            <w:pPr>
              <w:rPr>
                <w:rFonts w:ascii="宋体" w:hAnsi="宋体"/>
                <w:sz w:val="24"/>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92" w:hRule="exact"/>
        </w:trPr>
        <w:tc>
          <w:tcPr>
            <w:tcW w:w="2277" w:type="dxa"/>
          </w:tcPr>
          <w:p>
            <w:pPr>
              <w:rPr>
                <w:rFonts w:ascii="宋体" w:hAnsi="宋体"/>
                <w:sz w:val="24"/>
              </w:rPr>
            </w:pPr>
            <w:r>
              <w:rPr>
                <w:rFonts w:ascii="宋体" w:hAnsi="宋体"/>
                <w:sz w:val="24"/>
              </w:rPr>
              <w:t>电    话：</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传    真：</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1239" w:hRule="exact"/>
        </w:trPr>
        <w:tc>
          <w:tcPr>
            <w:tcW w:w="2277" w:type="dxa"/>
          </w:tcPr>
          <w:p>
            <w:pPr>
              <w:rPr>
                <w:rFonts w:ascii="宋体" w:hAnsi="宋体"/>
                <w:sz w:val="24"/>
              </w:rPr>
            </w:pPr>
            <w:r>
              <w:rPr>
                <w:rFonts w:ascii="宋体" w:hAnsi="宋体"/>
                <w:sz w:val="24"/>
              </w:rPr>
              <w:t>开户银行：</w:t>
            </w:r>
          </w:p>
        </w:tc>
        <w:tc>
          <w:tcPr>
            <w:tcW w:w="2827" w:type="dxa"/>
            <w:gridSpan w:val="3"/>
          </w:tcPr>
          <w:p>
            <w:pPr>
              <w:rPr>
                <w:rFonts w:ascii="宋体" w:hAnsi="宋体"/>
                <w:szCs w:val="21"/>
              </w:rPr>
            </w:pPr>
          </w:p>
        </w:tc>
        <w:tc>
          <w:tcPr>
            <w:tcW w:w="2108" w:type="dxa"/>
          </w:tcPr>
          <w:p>
            <w:pPr>
              <w:rPr>
                <w:rFonts w:ascii="宋体" w:hAnsi="宋体"/>
                <w:sz w:val="24"/>
              </w:rPr>
            </w:pPr>
            <w:r>
              <w:rPr>
                <w:rFonts w:ascii="宋体" w:hAnsi="宋体"/>
                <w:sz w:val="24"/>
              </w:rPr>
              <w:t>开户全名：</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529" w:hRule="exact"/>
        </w:trPr>
        <w:tc>
          <w:tcPr>
            <w:tcW w:w="2277" w:type="dxa"/>
          </w:tcPr>
          <w:p>
            <w:pPr>
              <w:rPr>
                <w:rFonts w:ascii="宋体" w:hAnsi="宋体"/>
                <w:sz w:val="24"/>
              </w:rPr>
            </w:pPr>
            <w:r>
              <w:rPr>
                <w:rFonts w:ascii="宋体" w:hAnsi="宋体"/>
                <w:sz w:val="24"/>
              </w:rPr>
              <w:t>账    号</w:t>
            </w:r>
            <w:r>
              <w:rPr>
                <w:rFonts w:hint="eastAsia" w:ascii="宋体" w:hAnsi="宋体"/>
                <w:sz w:val="24"/>
              </w:rPr>
              <w:t>：</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邮政编码：</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600" w:hRule="exact"/>
        </w:trPr>
        <w:tc>
          <w:tcPr>
            <w:tcW w:w="2277" w:type="dxa"/>
          </w:tcPr>
          <w:p>
            <w:pPr>
              <w:rPr>
                <w:rFonts w:ascii="宋体" w:hAnsi="宋体"/>
                <w:sz w:val="24"/>
              </w:rPr>
            </w:pPr>
            <w:r>
              <w:rPr>
                <w:rFonts w:hint="eastAsia" w:ascii="宋体" w:hAnsi="宋体"/>
                <w:sz w:val="24"/>
              </w:rPr>
              <w:t>乙方经办人：</w:t>
            </w:r>
          </w:p>
        </w:tc>
        <w:tc>
          <w:tcPr>
            <w:tcW w:w="2827" w:type="dxa"/>
            <w:gridSpan w:val="3"/>
          </w:tcPr>
          <w:p>
            <w:pPr>
              <w:rPr>
                <w:rFonts w:ascii="宋体" w:hAnsi="宋体"/>
                <w:sz w:val="24"/>
              </w:rPr>
            </w:pPr>
          </w:p>
        </w:tc>
        <w:tc>
          <w:tcPr>
            <w:tcW w:w="2108" w:type="dxa"/>
          </w:tcPr>
          <w:p>
            <w:pPr>
              <w:rPr>
                <w:rFonts w:ascii="宋体" w:hAnsi="宋体"/>
                <w:sz w:val="24"/>
              </w:rPr>
            </w:pPr>
            <w:r>
              <w:rPr>
                <w:rFonts w:hint="eastAsia" w:ascii="宋体" w:hAnsi="宋体"/>
                <w:sz w:val="24"/>
              </w:rPr>
              <w:t>乙方经办人电话：</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sz w:val="24"/>
              </w:rPr>
            </w:pPr>
            <w:r>
              <w:rPr>
                <w:rFonts w:hint="eastAsia" w:ascii="宋体" w:hAnsi="宋体"/>
                <w:b/>
                <w:sz w:val="24"/>
              </w:rPr>
              <w:t>合同签署地点：</w:t>
            </w:r>
          </w:p>
        </w:tc>
        <w:tc>
          <w:tcPr>
            <w:tcW w:w="2827" w:type="dxa"/>
            <w:gridSpan w:val="3"/>
          </w:tcPr>
          <w:p>
            <w:pPr>
              <w:rPr>
                <w:rFonts w:ascii="宋体" w:hAnsi="宋体"/>
                <w:b/>
                <w:szCs w:val="21"/>
              </w:rPr>
            </w:pPr>
            <w:r>
              <w:rPr>
                <w:rFonts w:hint="eastAsia" w:ascii="宋体" w:hAnsi="宋体"/>
                <w:b/>
                <w:sz w:val="24"/>
              </w:rPr>
              <w:t>深  圳</w:t>
            </w:r>
          </w:p>
        </w:tc>
        <w:tc>
          <w:tcPr>
            <w:tcW w:w="2108" w:type="dxa"/>
          </w:tcPr>
          <w:p>
            <w:pPr>
              <w:rPr>
                <w:rFonts w:ascii="宋体" w:hAnsi="宋体"/>
                <w:sz w:val="24"/>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sz w:val="24"/>
              </w:rPr>
            </w:pPr>
            <w:r>
              <w:rPr>
                <w:rFonts w:hint="eastAsia" w:ascii="宋体" w:hAnsi="宋体"/>
                <w:b/>
                <w:sz w:val="24"/>
              </w:rPr>
              <w:t>时      间：</w:t>
            </w:r>
          </w:p>
        </w:tc>
        <w:tc>
          <w:tcPr>
            <w:tcW w:w="2827" w:type="dxa"/>
            <w:gridSpan w:val="3"/>
          </w:tcPr>
          <w:p>
            <w:pPr>
              <w:rPr>
                <w:rFonts w:ascii="宋体" w:hAnsi="宋体"/>
                <w:b/>
                <w:szCs w:val="21"/>
              </w:rPr>
            </w:pPr>
            <w:r>
              <w:rPr>
                <w:rFonts w:hint="eastAsia" w:ascii="宋体" w:hAnsi="宋体"/>
                <w:b/>
                <w:sz w:val="24"/>
              </w:rPr>
              <w:t>202</w:t>
            </w:r>
            <w:r>
              <w:rPr>
                <w:rFonts w:ascii="宋体" w:hAnsi="宋体"/>
                <w:b/>
                <w:sz w:val="24"/>
              </w:rPr>
              <w:t>2</w:t>
            </w:r>
            <w:r>
              <w:rPr>
                <w:rFonts w:hint="eastAsia" w:ascii="宋体" w:hAnsi="宋体"/>
                <w:b/>
                <w:sz w:val="24"/>
              </w:rPr>
              <w:t>年   月    日</w:t>
            </w:r>
          </w:p>
        </w:tc>
        <w:tc>
          <w:tcPr>
            <w:tcW w:w="2108" w:type="dxa"/>
          </w:tcPr>
          <w:p>
            <w:pPr>
              <w:rPr>
                <w:rFonts w:ascii="宋体" w:hAnsi="宋体"/>
                <w:sz w:val="24"/>
              </w:rPr>
            </w:pPr>
          </w:p>
        </w:tc>
        <w:tc>
          <w:tcPr>
            <w:tcW w:w="3137" w:type="dxa"/>
            <w:gridSpan w:val="2"/>
          </w:tcPr>
          <w:p>
            <w:pPr>
              <w:rPr>
                <w:rFonts w:ascii="宋体" w:hAnsi="宋体"/>
                <w:szCs w:val="21"/>
              </w:rPr>
            </w:pPr>
          </w:p>
        </w:tc>
      </w:tr>
    </w:tbl>
    <w:p>
      <w:pPr>
        <w:rPr>
          <w:rFonts w:ascii="宋体" w:hAnsi="宋体"/>
          <w:b/>
          <w:color w:val="0D0D0D" w:themeColor="text1" w:themeTint="F2"/>
          <w:szCs w:val="21"/>
          <w14:textFill>
            <w14:solidFill>
              <w14:schemeClr w14:val="tx1">
                <w14:lumMod w14:val="95000"/>
                <w14:lumOff w14:val="5000"/>
              </w14:schemeClr>
            </w14:solidFill>
          </w14:textFill>
        </w:rPr>
        <w:sectPr>
          <w:pgSz w:w="11907" w:h="16840"/>
          <w:pgMar w:top="1440" w:right="1134" w:bottom="1440" w:left="1440" w:header="720" w:footer="890" w:gutter="0"/>
          <w:cols w:space="720" w:num="1"/>
          <w:titlePg/>
          <w:docGrid w:linePitch="360" w:charSpace="0"/>
        </w:sectPr>
      </w:pP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附件：《项目服务团队架构及人员组成》</w:t>
      </w:r>
    </w:p>
    <w:p/>
    <w:p>
      <w:pPr>
        <w:spacing w:line="360" w:lineRule="auto"/>
        <w:jc w:val="center"/>
        <w:rPr>
          <w:rFonts w:ascii="楷体_GB2312" w:hAnsi="宋体" w:eastAsia="楷体_GB2312" w:cs="宋体"/>
          <w:b/>
          <w:bCs/>
          <w:color w:val="0D0D0D" w:themeColor="text1" w:themeTint="F2"/>
          <w:kern w:val="0"/>
          <w:sz w:val="32"/>
          <w:szCs w:val="32"/>
          <w14:textFill>
            <w14:solidFill>
              <w14:schemeClr w14:val="tx1">
                <w14:lumMod w14:val="95000"/>
                <w14:lumOff w14:val="5000"/>
              </w14:schemeClr>
            </w14:solidFill>
          </w14:textFill>
        </w:rPr>
      </w:pPr>
      <w:r>
        <w:rPr>
          <w:rFonts w:hint="eastAsia" w:ascii="楷体_GB2312" w:hAnsi="宋体" w:eastAsia="楷体_GB2312" w:cs="宋体"/>
          <w:b/>
          <w:bCs/>
          <w:color w:val="0D0D0D" w:themeColor="text1" w:themeTint="F2"/>
          <w:kern w:val="0"/>
          <w:sz w:val="32"/>
          <w:szCs w:val="32"/>
          <w14:textFill>
            <w14:solidFill>
              <w14:schemeClr w14:val="tx1">
                <w14:lumMod w14:val="95000"/>
                <w14:lumOff w14:val="5000"/>
              </w14:schemeClr>
            </w14:solidFill>
          </w14:textFill>
        </w:rPr>
        <w:t>项目组工作人员一览表</w:t>
      </w:r>
    </w:p>
    <w:tbl>
      <w:tblPr>
        <w:tblStyle w:val="47"/>
        <w:tblW w:w="878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2122"/>
        <w:gridCol w:w="747"/>
        <w:gridCol w:w="747"/>
        <w:gridCol w:w="747"/>
        <w:gridCol w:w="747"/>
        <w:gridCol w:w="1653"/>
        <w:gridCol w:w="13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tabs>
                <w:tab w:val="left" w:pos="580"/>
              </w:tabs>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编号</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职务</w:t>
            </w:r>
          </w:p>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（本项目分工）</w:t>
            </w:r>
          </w:p>
        </w:tc>
        <w:tc>
          <w:tcPr>
            <w:tcW w:w="74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姓名</w:t>
            </w:r>
          </w:p>
        </w:tc>
        <w:tc>
          <w:tcPr>
            <w:tcW w:w="74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性别</w:t>
            </w:r>
          </w:p>
        </w:tc>
        <w:tc>
          <w:tcPr>
            <w:tcW w:w="74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年龄</w:t>
            </w:r>
          </w:p>
        </w:tc>
        <w:tc>
          <w:tcPr>
            <w:tcW w:w="74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学历</w:t>
            </w:r>
          </w:p>
        </w:tc>
        <w:tc>
          <w:tcPr>
            <w:tcW w:w="16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专业服务项目简历</w:t>
            </w:r>
          </w:p>
        </w:tc>
        <w:tc>
          <w:tcPr>
            <w:tcW w:w="1301" w:type="dxa"/>
            <w:tcBorders>
              <w:top w:val="single" w:color="auto" w:sz="4" w:space="0"/>
              <w:left w:val="single" w:color="auto" w:sz="4" w:space="0"/>
              <w:bottom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1</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项目总监</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项目策划经理</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项目主策</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项目策划</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5</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项目策划</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6</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ascii="宋体" w:hAnsi="宋体"/>
                <w:szCs w:val="21"/>
              </w:rPr>
              <w:t>……</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bl>
    <w:p>
      <w:pPr>
        <w:rPr>
          <w:rFonts w:ascii="宋体" w:hAnsi="宋体"/>
          <w:color w:val="0D0D0D" w:themeColor="text1" w:themeTint="F2"/>
          <w:sz w:val="44"/>
          <w:szCs w:val="44"/>
          <w14:textFill>
            <w14:solidFill>
              <w14:schemeClr w14:val="tx1">
                <w14:lumMod w14:val="95000"/>
                <w14:lumOff w14:val="5000"/>
              </w14:schemeClr>
            </w14:solidFill>
          </w14:textFill>
        </w:rPr>
        <w:sectPr>
          <w:pgSz w:w="11907" w:h="16840"/>
          <w:pgMar w:top="1440" w:right="1134" w:bottom="1440" w:left="1440" w:header="720" w:footer="890" w:gutter="0"/>
          <w:cols w:space="720" w:num="1"/>
          <w:titlePg/>
          <w:docGrid w:linePitch="360" w:charSpace="0"/>
        </w:sectPr>
      </w:pPr>
    </w:p>
    <w:p>
      <w:pPr>
        <w:jc w:val="center"/>
        <w:rPr>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sz w:val="44"/>
          <w:szCs w:val="44"/>
          <w14:textFill>
            <w14:solidFill>
              <w14:schemeClr w14:val="tx1">
                <w14:lumMod w14:val="95000"/>
                <w14:lumOff w14:val="5000"/>
              </w14:schemeClr>
            </w14:solidFill>
          </w14:textFill>
        </w:rPr>
        <w:t>中</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选</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通</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知</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书</w:t>
      </w:r>
    </w:p>
    <w:p>
      <w:pPr>
        <w:spacing w:line="360" w:lineRule="auto"/>
        <w:jc w:val="center"/>
        <w:rPr>
          <w:rFonts w:ascii="宋体" w:hAnsi="宋体"/>
          <w:b/>
          <w:color w:val="0D0D0D" w:themeColor="text1" w:themeTint="F2"/>
          <w:sz w:val="30"/>
          <w:szCs w:val="30"/>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z w:val="30"/>
          <w:szCs w:val="30"/>
          <w14:textFill>
            <w14:solidFill>
              <w14:schemeClr w14:val="tx1">
                <w14:lumMod w14:val="95000"/>
                <w14:lumOff w14:val="5000"/>
              </w14:schemeClr>
            </w14:solidFill>
          </w14:textFill>
        </w:rPr>
      </w:pPr>
    </w:p>
    <w:p>
      <w:pPr>
        <w:spacing w:line="360" w:lineRule="auto"/>
        <w:rPr>
          <w:rFonts w:ascii="宋体" w:hAnsi="宋体"/>
          <w:b/>
          <w:color w:val="0D0D0D" w:themeColor="text1" w:themeTint="F2"/>
          <w:sz w:val="30"/>
          <w:szCs w:val="30"/>
          <w:u w:val="single"/>
          <w14:textFill>
            <w14:solidFill>
              <w14:schemeClr w14:val="tx1">
                <w14:lumMod w14:val="95000"/>
                <w14:lumOff w14:val="5000"/>
              </w14:schemeClr>
            </w14:solidFill>
          </w14:textFill>
        </w:rPr>
      </w:pPr>
      <w:r>
        <w:rPr>
          <w:rFonts w:hint="eastAsia" w:ascii="宋体" w:hAnsi="宋体"/>
          <w:b/>
          <w:color w:val="0D0D0D" w:themeColor="text1" w:themeTint="F2"/>
          <w:sz w:val="30"/>
          <w:szCs w:val="30"/>
          <w14:textFill>
            <w14:solidFill>
              <w14:schemeClr w14:val="tx1">
                <w14:lumMod w14:val="95000"/>
                <w14:lumOff w14:val="5000"/>
              </w14:schemeClr>
            </w14:solidFill>
          </w14:textFill>
        </w:rPr>
        <w:t>致参选人</w:t>
      </w:r>
      <w:r>
        <w:rPr>
          <w:rFonts w:hint="eastAsia" w:ascii="宋体" w:hAnsi="宋体"/>
          <w:color w:val="0D0D0D" w:themeColor="text1" w:themeTint="F2"/>
          <w:sz w:val="30"/>
          <w:szCs w:val="30"/>
          <w14:textFill>
            <w14:solidFill>
              <w14:schemeClr w14:val="tx1">
                <w14:lumMod w14:val="95000"/>
                <w14:lumOff w14:val="5000"/>
              </w14:schemeClr>
            </w14:solidFill>
          </w14:textFill>
        </w:rPr>
        <w:t>：</w:t>
      </w:r>
      <w:r>
        <w:rPr>
          <w:rFonts w:hint="eastAsia" w:ascii="宋体" w:hAnsi="宋体"/>
          <w:b/>
          <w:color w:val="0D0D0D" w:themeColor="text1" w:themeTint="F2"/>
          <w:spacing w:val="-12"/>
          <w:sz w:val="30"/>
          <w:szCs w:val="30"/>
          <w:u w:val="single"/>
          <w14:textFill>
            <w14:solidFill>
              <w14:schemeClr w14:val="tx1">
                <w14:lumMod w14:val="95000"/>
                <w14:lumOff w14:val="5000"/>
              </w14:schemeClr>
            </w14:solidFill>
          </w14:textFill>
        </w:rPr>
        <w:t xml:space="preserve">                                          </w:t>
      </w:r>
    </w:p>
    <w:p>
      <w:pPr>
        <w:spacing w:after="100" w:afterAutospacing="1" w:line="360" w:lineRule="auto"/>
        <w:ind w:left="1506" w:hanging="1506" w:hangingChars="500"/>
        <w:rPr>
          <w:rFonts w:ascii="宋体" w:hAnsi="宋体"/>
          <w:color w:val="0D0D0D" w:themeColor="text1" w:themeTint="F2"/>
          <w:sz w:val="30"/>
          <w:szCs w:val="30"/>
          <w:u w:val="single"/>
          <w14:textFill>
            <w14:solidFill>
              <w14:schemeClr w14:val="tx1">
                <w14:lumMod w14:val="95000"/>
                <w14:lumOff w14:val="5000"/>
              </w14:schemeClr>
            </w14:solidFill>
          </w14:textFill>
        </w:rPr>
      </w:pPr>
      <w:r>
        <w:rPr>
          <w:rFonts w:hint="eastAsia" w:ascii="宋体" w:hAnsi="宋体"/>
          <w:b/>
          <w:color w:val="0D0D0D" w:themeColor="text1" w:themeTint="F2"/>
          <w:sz w:val="30"/>
          <w:szCs w:val="30"/>
          <w14:textFill>
            <w14:solidFill>
              <w14:schemeClr w14:val="tx1">
                <w14:lumMod w14:val="95000"/>
                <w14:lumOff w14:val="5000"/>
              </w14:schemeClr>
            </w14:solidFill>
          </w14:textFill>
        </w:rPr>
        <w:t>承担项目：</w:t>
      </w:r>
      <w:r>
        <w:rPr>
          <w:rFonts w:hint="eastAsia" w:hAnsi="宋体"/>
          <w:color w:val="0D0D0D" w:themeColor="text1" w:themeTint="F2"/>
          <w:sz w:val="30"/>
          <w:szCs w:val="30"/>
          <w:u w:val="single"/>
          <w14:textFill>
            <w14:solidFill>
              <w14:schemeClr w14:val="tx1">
                <w14:lumMod w14:val="95000"/>
                <w14:lumOff w14:val="5000"/>
              </w14:schemeClr>
            </w14:solidFill>
          </w14:textFill>
        </w:rPr>
        <w:t>X</w:t>
      </w:r>
      <w:r>
        <w:rPr>
          <w:rFonts w:hAnsi="宋体"/>
          <w:color w:val="0D0D0D" w:themeColor="text1" w:themeTint="F2"/>
          <w:sz w:val="30"/>
          <w:szCs w:val="30"/>
          <w:u w:val="single"/>
          <w14:textFill>
            <w14:solidFill>
              <w14:schemeClr w14:val="tx1">
                <w14:lumMod w14:val="95000"/>
                <w14:lumOff w14:val="5000"/>
              </w14:schemeClr>
            </w14:solidFill>
          </w14:textFill>
        </w:rPr>
        <w:t>X</w:t>
      </w:r>
      <w:r>
        <w:rPr>
          <w:rFonts w:hint="eastAsia" w:hAnsi="宋体"/>
          <w:color w:val="0D0D0D" w:themeColor="text1" w:themeTint="F2"/>
          <w:sz w:val="30"/>
          <w:szCs w:val="30"/>
          <w:u w:val="single"/>
          <w14:textFill>
            <w14:solidFill>
              <w14:schemeClr w14:val="tx1">
                <w14:lumMod w14:val="95000"/>
                <w14:lumOff w14:val="5000"/>
              </w14:schemeClr>
            </w14:solidFill>
          </w14:textFill>
        </w:rPr>
        <w:t xml:space="preserve">项目物业定位研究服务 </w:t>
      </w:r>
      <w:r>
        <w:rPr>
          <w:rFonts w:hint="eastAsia" w:hAnsi="宋体"/>
          <w:color w:val="0D0D0D" w:themeColor="text1" w:themeTint="F2"/>
          <w:sz w:val="24"/>
          <w:szCs w:val="24"/>
          <w:u w:val="single"/>
          <w14:textFill>
            <w14:solidFill>
              <w14:schemeClr w14:val="tx1">
                <w14:lumMod w14:val="95000"/>
                <w14:lumOff w14:val="5000"/>
              </w14:schemeClr>
            </w14:solidFill>
          </w14:textFill>
        </w:rPr>
        <w:t xml:space="preserve">     </w:t>
      </w:r>
    </w:p>
    <w:p>
      <w:pPr>
        <w:spacing w:after="100" w:afterAutospacing="1" w:line="360" w:lineRule="auto"/>
        <w:ind w:firstLine="567" w:firstLineChars="189"/>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贵司于</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年</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月</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日提交了上述项目的参选文件，依照《中华人民共和国比选参选法》和《坪山区坑梓街道、宝安区松岗街道、光明区新湖街道三个项目物业定位研究服务》比选文件，经资格审查和评定标程序，并报我公司批准，贵司的参选文件已被我公司接受，中选合同总价为人民币</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（小写：</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元）。确定贵司为</w:t>
      </w:r>
      <w:r>
        <w:rPr>
          <w:rFonts w:hint="eastAsia" w:hAnsi="宋体"/>
          <w:color w:val="0D0D0D" w:themeColor="text1" w:themeTint="F2"/>
          <w:sz w:val="30"/>
          <w:szCs w:val="30"/>
          <w:u w:val="single"/>
          <w14:textFill>
            <w14:solidFill>
              <w14:schemeClr w14:val="tx1">
                <w14:lumMod w14:val="95000"/>
                <w14:lumOff w14:val="5000"/>
              </w14:schemeClr>
            </w14:solidFill>
          </w14:textFill>
        </w:rPr>
        <w:t>X</w:t>
      </w:r>
      <w:r>
        <w:rPr>
          <w:rFonts w:hAnsi="宋体"/>
          <w:color w:val="0D0D0D" w:themeColor="text1" w:themeTint="F2"/>
          <w:sz w:val="30"/>
          <w:szCs w:val="30"/>
          <w:u w:val="single"/>
          <w14:textFill>
            <w14:solidFill>
              <w14:schemeClr w14:val="tx1">
                <w14:lumMod w14:val="95000"/>
                <w14:lumOff w14:val="5000"/>
              </w14:schemeClr>
            </w14:solidFill>
          </w14:textFill>
        </w:rPr>
        <w:t>X</w:t>
      </w:r>
      <w:r>
        <w:rPr>
          <w:rFonts w:hint="eastAsia" w:hAnsi="宋体"/>
          <w:color w:val="0D0D0D" w:themeColor="text1" w:themeTint="F2"/>
          <w:sz w:val="30"/>
          <w:szCs w:val="30"/>
          <w:u w:val="single"/>
          <w14:textFill>
            <w14:solidFill>
              <w14:schemeClr w14:val="tx1">
                <w14:lumMod w14:val="95000"/>
                <w14:lumOff w14:val="5000"/>
              </w14:schemeClr>
            </w14:solidFill>
          </w14:textFill>
        </w:rPr>
        <w:t>项目物业定位研究服务</w:t>
      </w:r>
      <w:r>
        <w:rPr>
          <w:rFonts w:hint="eastAsia" w:ascii="宋体" w:hAnsi="宋体"/>
          <w:color w:val="0D0D0D" w:themeColor="text1" w:themeTint="F2"/>
          <w:sz w:val="30"/>
          <w:szCs w:val="30"/>
          <w14:textFill>
            <w14:solidFill>
              <w14:schemeClr w14:val="tx1">
                <w14:lumMod w14:val="95000"/>
                <w14:lumOff w14:val="5000"/>
              </w14:schemeClr>
            </w14:solidFill>
          </w14:textFill>
        </w:rPr>
        <w:t>中选单位。</w:t>
      </w:r>
    </w:p>
    <w:p>
      <w:pPr>
        <w:spacing w:line="360" w:lineRule="auto"/>
        <w:ind w:firstLine="612"/>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请做好签署合同的准备。</w:t>
      </w:r>
    </w:p>
    <w:p>
      <w:pPr>
        <w:spacing w:line="360" w:lineRule="auto"/>
        <w:ind w:firstLine="612"/>
        <w:rPr>
          <w:rFonts w:ascii="宋体" w:hAnsi="宋体"/>
          <w:color w:val="0D0D0D" w:themeColor="text1" w:themeTint="F2"/>
          <w:sz w:val="30"/>
          <w:szCs w:val="30"/>
          <w14:textFill>
            <w14:solidFill>
              <w14:schemeClr w14:val="tx1">
                <w14:lumMod w14:val="95000"/>
                <w14:lumOff w14:val="5000"/>
              </w14:schemeClr>
            </w14:solidFill>
          </w14:textFill>
        </w:rPr>
      </w:pPr>
    </w:p>
    <w:p>
      <w:pPr>
        <w:spacing w:line="360" w:lineRule="auto"/>
        <w:ind w:firstLine="612"/>
        <w:jc w:val="center"/>
        <w:rPr>
          <w:rFonts w:ascii="宋体" w:hAnsi="宋体"/>
          <w:color w:val="0D0D0D" w:themeColor="text1" w:themeTint="F2"/>
          <w:sz w:val="30"/>
          <w:szCs w:val="30"/>
          <w14:textFill>
            <w14:solidFill>
              <w14:schemeClr w14:val="tx1">
                <w14:lumMod w14:val="95000"/>
                <w14:lumOff w14:val="5000"/>
              </w14:schemeClr>
            </w14:solidFill>
          </w14:textFill>
        </w:rPr>
      </w:pPr>
      <w:r>
        <w:rPr>
          <w:rFonts w:ascii="宋体" w:hAnsi="宋体"/>
          <w:color w:val="0D0D0D" w:themeColor="text1" w:themeTint="F2"/>
          <w:sz w:val="30"/>
          <w:szCs w:val="30"/>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深圳地铁置业集团有限公司</w:t>
      </w:r>
    </w:p>
    <w:p>
      <w:pPr>
        <w:spacing w:line="360" w:lineRule="auto"/>
        <w:ind w:firstLine="612"/>
        <w:jc w:val="center"/>
        <w:rPr>
          <w:rFonts w:ascii="宋体" w:hAnsi="宋体"/>
          <w:color w:val="0D0D0D" w:themeColor="text1" w:themeTint="F2"/>
          <w:sz w:val="30"/>
          <w:szCs w:val="30"/>
          <w14:textFill>
            <w14:solidFill>
              <w14:schemeClr w14:val="tx1">
                <w14:lumMod w14:val="95000"/>
                <w14:lumOff w14:val="5000"/>
              </w14:schemeClr>
            </w14:solidFill>
          </w14:textFill>
        </w:rPr>
      </w:pPr>
    </w:p>
    <w:p>
      <w:pPr>
        <w:spacing w:line="360" w:lineRule="auto"/>
        <w:jc w:val="right"/>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法定代表人（或授权代表）：</w:t>
      </w:r>
    </w:p>
    <w:p>
      <w:pPr>
        <w:spacing w:line="360" w:lineRule="auto"/>
        <w:jc w:val="center"/>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 xml:space="preserve">                                      年   月   日</w:t>
      </w:r>
    </w:p>
    <w:p>
      <w:pPr>
        <w:adjustRightInd w:val="0"/>
        <w:snapToGrid w:val="0"/>
        <w:spacing w:line="360" w:lineRule="auto"/>
        <w:ind w:firstLine="480" w:firstLineChars="200"/>
        <w:jc w:val="left"/>
        <w:rPr>
          <w:color w:val="0D0D0D" w:themeColor="text1" w:themeTint="F2"/>
          <w:sz w:val="24"/>
          <w14:textFill>
            <w14:solidFill>
              <w14:schemeClr w14:val="tx1">
                <w14:lumMod w14:val="95000"/>
                <w14:lumOff w14:val="5000"/>
              </w14:schemeClr>
            </w14:solidFill>
          </w14:textFill>
        </w:rPr>
      </w:pPr>
    </w:p>
    <w:p>
      <w:pPr>
        <w:pStyle w:val="176"/>
        <w:shd w:val="clear" w:color="auto" w:fill="auto"/>
        <w:tabs>
          <w:tab w:val="left" w:pos="830"/>
        </w:tabs>
        <w:spacing w:after="120" w:line="360" w:lineRule="auto"/>
        <w:ind w:firstLine="0"/>
        <w:jc w:val="left"/>
        <w:rPr>
          <w:rFonts w:ascii="宋体" w:hAnsi="宋体" w:eastAsia="宋体"/>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
          <w:color w:val="0D0D0D" w:themeColor="text1" w:themeTint="F2"/>
          <w:sz w:val="44"/>
          <w:szCs w:val="44"/>
          <w14:textFill>
            <w14:solidFill>
              <w14:schemeClr w14:val="tx1">
                <w14:lumMod w14:val="95000"/>
                <w14:lumOff w14:val="5000"/>
              </w14:schemeClr>
            </w14:solidFill>
          </w14:textFill>
        </w:rPr>
      </w:pPr>
    </w:p>
    <w:sectPr>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left" w:pos="5134"/>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3C650FB"/>
    <w:multiLevelType w:val="multilevel"/>
    <w:tmpl w:val="43C650FB"/>
    <w:lvl w:ilvl="0" w:tentative="0">
      <w:start w:val="1"/>
      <w:numFmt w:val="chineseCountingThousand"/>
      <w:pStyle w:val="193"/>
      <w:lvlText w:val="第%1条"/>
      <w:lvlJc w:val="left"/>
      <w:pPr>
        <w:tabs>
          <w:tab w:val="left" w:pos="851"/>
        </w:tabs>
        <w:ind w:left="851" w:hanging="851"/>
      </w:pPr>
      <w:rPr>
        <w:rFonts w:hint="eastAsia"/>
      </w:rPr>
    </w:lvl>
    <w:lvl w:ilvl="1" w:tentative="0">
      <w:start w:val="1"/>
      <w:numFmt w:val="decimal"/>
      <w:pStyle w:val="194"/>
      <w:isLgl/>
      <w:lvlText w:val="%1.%2"/>
      <w:lvlJc w:val="left"/>
      <w:pPr>
        <w:tabs>
          <w:tab w:val="left" w:pos="851"/>
        </w:tabs>
        <w:ind w:left="851" w:hanging="851"/>
      </w:pPr>
      <w:rPr>
        <w:rFonts w:hint="eastAsia"/>
      </w:rPr>
    </w:lvl>
    <w:lvl w:ilvl="2" w:tentative="0">
      <w:start w:val="1"/>
      <w:numFmt w:val="decimal"/>
      <w:pStyle w:val="196"/>
      <w:isLgl/>
      <w:lvlText w:val="%1.%2.%3"/>
      <w:lvlJc w:val="left"/>
      <w:pPr>
        <w:tabs>
          <w:tab w:val="left" w:pos="1985"/>
        </w:tabs>
        <w:ind w:left="1985" w:hanging="1134"/>
      </w:pPr>
      <w:rPr>
        <w:rFonts w:hint="eastAsia"/>
      </w:rPr>
    </w:lvl>
    <w:lvl w:ilvl="3" w:tentative="0">
      <w:start w:val="1"/>
      <w:numFmt w:val="decimal"/>
      <w:pStyle w:val="197"/>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B8"/>
    <w:rsid w:val="00017E21"/>
    <w:rsid w:val="00021C5F"/>
    <w:rsid w:val="00021C8F"/>
    <w:rsid w:val="00022CB3"/>
    <w:rsid w:val="00022CB7"/>
    <w:rsid w:val="00022D35"/>
    <w:rsid w:val="0002329A"/>
    <w:rsid w:val="00023DAA"/>
    <w:rsid w:val="00024201"/>
    <w:rsid w:val="00024ED4"/>
    <w:rsid w:val="00026C31"/>
    <w:rsid w:val="0003016A"/>
    <w:rsid w:val="0003078C"/>
    <w:rsid w:val="00031140"/>
    <w:rsid w:val="00031520"/>
    <w:rsid w:val="00031F90"/>
    <w:rsid w:val="00031FA6"/>
    <w:rsid w:val="00032313"/>
    <w:rsid w:val="00034827"/>
    <w:rsid w:val="00036C9E"/>
    <w:rsid w:val="00036DA2"/>
    <w:rsid w:val="0003798F"/>
    <w:rsid w:val="0004034F"/>
    <w:rsid w:val="000407D0"/>
    <w:rsid w:val="000417C4"/>
    <w:rsid w:val="00041D3F"/>
    <w:rsid w:val="00042339"/>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2A6"/>
    <w:rsid w:val="00060899"/>
    <w:rsid w:val="0006342A"/>
    <w:rsid w:val="00063B0B"/>
    <w:rsid w:val="00063D2A"/>
    <w:rsid w:val="00063E9B"/>
    <w:rsid w:val="0006570D"/>
    <w:rsid w:val="00065BE8"/>
    <w:rsid w:val="000669AD"/>
    <w:rsid w:val="000704E7"/>
    <w:rsid w:val="00070B06"/>
    <w:rsid w:val="000720B7"/>
    <w:rsid w:val="000720C0"/>
    <w:rsid w:val="0007307C"/>
    <w:rsid w:val="000733D7"/>
    <w:rsid w:val="0007358D"/>
    <w:rsid w:val="00073864"/>
    <w:rsid w:val="00073BB5"/>
    <w:rsid w:val="0007455E"/>
    <w:rsid w:val="00075C81"/>
    <w:rsid w:val="00075E3F"/>
    <w:rsid w:val="00077416"/>
    <w:rsid w:val="000807AA"/>
    <w:rsid w:val="000816C6"/>
    <w:rsid w:val="00081A71"/>
    <w:rsid w:val="0008246F"/>
    <w:rsid w:val="00083576"/>
    <w:rsid w:val="00084BFD"/>
    <w:rsid w:val="00084F0B"/>
    <w:rsid w:val="00084FA4"/>
    <w:rsid w:val="000851DC"/>
    <w:rsid w:val="000864CD"/>
    <w:rsid w:val="00087AA0"/>
    <w:rsid w:val="00090C35"/>
    <w:rsid w:val="00095D27"/>
    <w:rsid w:val="00095D77"/>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A6B"/>
    <w:rsid w:val="000B3B11"/>
    <w:rsid w:val="000B3BF1"/>
    <w:rsid w:val="000B442B"/>
    <w:rsid w:val="000B4F29"/>
    <w:rsid w:val="000B620E"/>
    <w:rsid w:val="000B67D0"/>
    <w:rsid w:val="000B6CC8"/>
    <w:rsid w:val="000C017F"/>
    <w:rsid w:val="000C09E7"/>
    <w:rsid w:val="000C0A80"/>
    <w:rsid w:val="000C0AAA"/>
    <w:rsid w:val="000C139C"/>
    <w:rsid w:val="000C38A8"/>
    <w:rsid w:val="000C3D09"/>
    <w:rsid w:val="000C4F48"/>
    <w:rsid w:val="000C6905"/>
    <w:rsid w:val="000C700E"/>
    <w:rsid w:val="000D07C3"/>
    <w:rsid w:val="000D0D8C"/>
    <w:rsid w:val="000D375C"/>
    <w:rsid w:val="000D59D7"/>
    <w:rsid w:val="000D5EAA"/>
    <w:rsid w:val="000D643B"/>
    <w:rsid w:val="000D6E6D"/>
    <w:rsid w:val="000D7BCF"/>
    <w:rsid w:val="000E1B23"/>
    <w:rsid w:val="000E1DAD"/>
    <w:rsid w:val="000E4F77"/>
    <w:rsid w:val="000E6685"/>
    <w:rsid w:val="000E6C4F"/>
    <w:rsid w:val="000E6D3B"/>
    <w:rsid w:val="000F017B"/>
    <w:rsid w:val="000F0468"/>
    <w:rsid w:val="000F0CAA"/>
    <w:rsid w:val="000F28E2"/>
    <w:rsid w:val="000F2AE4"/>
    <w:rsid w:val="000F369C"/>
    <w:rsid w:val="000F3D10"/>
    <w:rsid w:val="000F4391"/>
    <w:rsid w:val="000F5282"/>
    <w:rsid w:val="000F6CE3"/>
    <w:rsid w:val="000F7A77"/>
    <w:rsid w:val="0010094D"/>
    <w:rsid w:val="00101081"/>
    <w:rsid w:val="00103672"/>
    <w:rsid w:val="00103A89"/>
    <w:rsid w:val="001052FD"/>
    <w:rsid w:val="00105671"/>
    <w:rsid w:val="00105D40"/>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70F1"/>
    <w:rsid w:val="0013072B"/>
    <w:rsid w:val="00130A97"/>
    <w:rsid w:val="00131AD2"/>
    <w:rsid w:val="001326A3"/>
    <w:rsid w:val="00132B5D"/>
    <w:rsid w:val="00134455"/>
    <w:rsid w:val="00135BBA"/>
    <w:rsid w:val="00136DED"/>
    <w:rsid w:val="00137F90"/>
    <w:rsid w:val="001410ED"/>
    <w:rsid w:val="001420A9"/>
    <w:rsid w:val="001421CA"/>
    <w:rsid w:val="001434B3"/>
    <w:rsid w:val="001442F5"/>
    <w:rsid w:val="00144D84"/>
    <w:rsid w:val="00144E73"/>
    <w:rsid w:val="00145BCD"/>
    <w:rsid w:val="001469E8"/>
    <w:rsid w:val="00147929"/>
    <w:rsid w:val="00150B16"/>
    <w:rsid w:val="0015142F"/>
    <w:rsid w:val="00152809"/>
    <w:rsid w:val="00155F8E"/>
    <w:rsid w:val="00155FF2"/>
    <w:rsid w:val="0015641D"/>
    <w:rsid w:val="0016022A"/>
    <w:rsid w:val="00160AB3"/>
    <w:rsid w:val="00160E1F"/>
    <w:rsid w:val="001613DF"/>
    <w:rsid w:val="00162BA7"/>
    <w:rsid w:val="001630D4"/>
    <w:rsid w:val="00163592"/>
    <w:rsid w:val="0016369B"/>
    <w:rsid w:val="00163B81"/>
    <w:rsid w:val="001649BE"/>
    <w:rsid w:val="001657DD"/>
    <w:rsid w:val="0016622C"/>
    <w:rsid w:val="001663AE"/>
    <w:rsid w:val="001665D0"/>
    <w:rsid w:val="00166874"/>
    <w:rsid w:val="00170C20"/>
    <w:rsid w:val="00170C43"/>
    <w:rsid w:val="001714DB"/>
    <w:rsid w:val="00172061"/>
    <w:rsid w:val="001723EB"/>
    <w:rsid w:val="00172C13"/>
    <w:rsid w:val="001739EE"/>
    <w:rsid w:val="00173F20"/>
    <w:rsid w:val="0017454B"/>
    <w:rsid w:val="00175207"/>
    <w:rsid w:val="0017526E"/>
    <w:rsid w:val="001757CB"/>
    <w:rsid w:val="001757F2"/>
    <w:rsid w:val="0017599C"/>
    <w:rsid w:val="00175B30"/>
    <w:rsid w:val="001763B0"/>
    <w:rsid w:val="00176F0B"/>
    <w:rsid w:val="00177BBA"/>
    <w:rsid w:val="00181918"/>
    <w:rsid w:val="00181BB4"/>
    <w:rsid w:val="001828F8"/>
    <w:rsid w:val="00183AFE"/>
    <w:rsid w:val="00183F78"/>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0E89"/>
    <w:rsid w:val="001C2C06"/>
    <w:rsid w:val="001C327D"/>
    <w:rsid w:val="001C3D2F"/>
    <w:rsid w:val="001C5ECD"/>
    <w:rsid w:val="001C5FCE"/>
    <w:rsid w:val="001C646E"/>
    <w:rsid w:val="001C6A0D"/>
    <w:rsid w:val="001C6C06"/>
    <w:rsid w:val="001C7FD5"/>
    <w:rsid w:val="001D009D"/>
    <w:rsid w:val="001D01F6"/>
    <w:rsid w:val="001D05FC"/>
    <w:rsid w:val="001D0B1F"/>
    <w:rsid w:val="001D13A2"/>
    <w:rsid w:val="001D2D15"/>
    <w:rsid w:val="001D355B"/>
    <w:rsid w:val="001D69CA"/>
    <w:rsid w:val="001D6AE6"/>
    <w:rsid w:val="001D72C2"/>
    <w:rsid w:val="001E178B"/>
    <w:rsid w:val="001E1A08"/>
    <w:rsid w:val="001E3A2C"/>
    <w:rsid w:val="001E41C0"/>
    <w:rsid w:val="001E6E27"/>
    <w:rsid w:val="001E7069"/>
    <w:rsid w:val="001F0041"/>
    <w:rsid w:val="001F0AC2"/>
    <w:rsid w:val="001F0C32"/>
    <w:rsid w:val="001F1A29"/>
    <w:rsid w:val="001F2C41"/>
    <w:rsid w:val="001F4AF4"/>
    <w:rsid w:val="001F4C7C"/>
    <w:rsid w:val="001F69A6"/>
    <w:rsid w:val="001F75A1"/>
    <w:rsid w:val="002016B9"/>
    <w:rsid w:val="0020219B"/>
    <w:rsid w:val="00203E6F"/>
    <w:rsid w:val="0020579B"/>
    <w:rsid w:val="00205AAB"/>
    <w:rsid w:val="00206B15"/>
    <w:rsid w:val="00207770"/>
    <w:rsid w:val="0020791A"/>
    <w:rsid w:val="00210360"/>
    <w:rsid w:val="002103D9"/>
    <w:rsid w:val="00210DB5"/>
    <w:rsid w:val="00211830"/>
    <w:rsid w:val="002126EB"/>
    <w:rsid w:val="0022083E"/>
    <w:rsid w:val="00221141"/>
    <w:rsid w:val="0022395A"/>
    <w:rsid w:val="00224EDC"/>
    <w:rsid w:val="002253F0"/>
    <w:rsid w:val="002259BA"/>
    <w:rsid w:val="00225EB1"/>
    <w:rsid w:val="002265E9"/>
    <w:rsid w:val="00230341"/>
    <w:rsid w:val="0023044C"/>
    <w:rsid w:val="00230EE6"/>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244F"/>
    <w:rsid w:val="00243BA6"/>
    <w:rsid w:val="002440A5"/>
    <w:rsid w:val="00244DD5"/>
    <w:rsid w:val="0024503B"/>
    <w:rsid w:val="00245728"/>
    <w:rsid w:val="00245855"/>
    <w:rsid w:val="002471EF"/>
    <w:rsid w:val="0024741D"/>
    <w:rsid w:val="002516C2"/>
    <w:rsid w:val="00252423"/>
    <w:rsid w:val="00255237"/>
    <w:rsid w:val="00255C91"/>
    <w:rsid w:val="002573A4"/>
    <w:rsid w:val="002577A6"/>
    <w:rsid w:val="00257E27"/>
    <w:rsid w:val="002602D2"/>
    <w:rsid w:val="00260EB4"/>
    <w:rsid w:val="00261149"/>
    <w:rsid w:val="00261E93"/>
    <w:rsid w:val="002622D3"/>
    <w:rsid w:val="00263E6B"/>
    <w:rsid w:val="00263FC3"/>
    <w:rsid w:val="00264955"/>
    <w:rsid w:val="00264D6F"/>
    <w:rsid w:val="002657D2"/>
    <w:rsid w:val="002661DB"/>
    <w:rsid w:val="002668D4"/>
    <w:rsid w:val="00266AB1"/>
    <w:rsid w:val="00266D7B"/>
    <w:rsid w:val="00267313"/>
    <w:rsid w:val="002677C2"/>
    <w:rsid w:val="00267A1D"/>
    <w:rsid w:val="00267BD8"/>
    <w:rsid w:val="00267FF1"/>
    <w:rsid w:val="002719A0"/>
    <w:rsid w:val="00273347"/>
    <w:rsid w:val="002734C4"/>
    <w:rsid w:val="0027375C"/>
    <w:rsid w:val="00274484"/>
    <w:rsid w:val="00275D29"/>
    <w:rsid w:val="002766EC"/>
    <w:rsid w:val="00276820"/>
    <w:rsid w:val="00276D8B"/>
    <w:rsid w:val="0028033E"/>
    <w:rsid w:val="0028176E"/>
    <w:rsid w:val="0028197C"/>
    <w:rsid w:val="002821AA"/>
    <w:rsid w:val="0028251F"/>
    <w:rsid w:val="0028401D"/>
    <w:rsid w:val="0028713C"/>
    <w:rsid w:val="00290052"/>
    <w:rsid w:val="00290B79"/>
    <w:rsid w:val="00290DFD"/>
    <w:rsid w:val="00291532"/>
    <w:rsid w:val="00292125"/>
    <w:rsid w:val="0029306F"/>
    <w:rsid w:val="00293895"/>
    <w:rsid w:val="00293F17"/>
    <w:rsid w:val="00293F9E"/>
    <w:rsid w:val="002945B0"/>
    <w:rsid w:val="002A2D1D"/>
    <w:rsid w:val="002A3578"/>
    <w:rsid w:val="002A3589"/>
    <w:rsid w:val="002A3B09"/>
    <w:rsid w:val="002A3E1A"/>
    <w:rsid w:val="002A55B3"/>
    <w:rsid w:val="002A5D66"/>
    <w:rsid w:val="002A7AFE"/>
    <w:rsid w:val="002B0044"/>
    <w:rsid w:val="002B10CF"/>
    <w:rsid w:val="002B1A1D"/>
    <w:rsid w:val="002B1BD6"/>
    <w:rsid w:val="002B2720"/>
    <w:rsid w:val="002B27A2"/>
    <w:rsid w:val="002B2F6E"/>
    <w:rsid w:val="002B3591"/>
    <w:rsid w:val="002B3ED0"/>
    <w:rsid w:val="002B4273"/>
    <w:rsid w:val="002B50FA"/>
    <w:rsid w:val="002C04B1"/>
    <w:rsid w:val="002C0547"/>
    <w:rsid w:val="002C2165"/>
    <w:rsid w:val="002C3A12"/>
    <w:rsid w:val="002C3F62"/>
    <w:rsid w:val="002C400C"/>
    <w:rsid w:val="002C4E6A"/>
    <w:rsid w:val="002C4F2D"/>
    <w:rsid w:val="002C54A4"/>
    <w:rsid w:val="002D1116"/>
    <w:rsid w:val="002D13D5"/>
    <w:rsid w:val="002D34B9"/>
    <w:rsid w:val="002D4808"/>
    <w:rsid w:val="002D4E04"/>
    <w:rsid w:val="002D5640"/>
    <w:rsid w:val="002D6248"/>
    <w:rsid w:val="002D6B41"/>
    <w:rsid w:val="002D7144"/>
    <w:rsid w:val="002E1F42"/>
    <w:rsid w:val="002E2C6D"/>
    <w:rsid w:val="002E322D"/>
    <w:rsid w:val="002E328C"/>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5C30"/>
    <w:rsid w:val="0030670E"/>
    <w:rsid w:val="00306DE3"/>
    <w:rsid w:val="00307D1F"/>
    <w:rsid w:val="00311B3B"/>
    <w:rsid w:val="00311E3A"/>
    <w:rsid w:val="00313269"/>
    <w:rsid w:val="00314C6E"/>
    <w:rsid w:val="0031554D"/>
    <w:rsid w:val="003165D1"/>
    <w:rsid w:val="0032081E"/>
    <w:rsid w:val="0032094F"/>
    <w:rsid w:val="00320A9B"/>
    <w:rsid w:val="00321021"/>
    <w:rsid w:val="003218E6"/>
    <w:rsid w:val="00321B49"/>
    <w:rsid w:val="00321DDC"/>
    <w:rsid w:val="00322418"/>
    <w:rsid w:val="0032432B"/>
    <w:rsid w:val="00324860"/>
    <w:rsid w:val="003264DD"/>
    <w:rsid w:val="003274BD"/>
    <w:rsid w:val="003302CF"/>
    <w:rsid w:val="00330912"/>
    <w:rsid w:val="00331435"/>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FEC"/>
    <w:rsid w:val="0034335F"/>
    <w:rsid w:val="00344308"/>
    <w:rsid w:val="003449BE"/>
    <w:rsid w:val="00345D11"/>
    <w:rsid w:val="00347EBB"/>
    <w:rsid w:val="003505F5"/>
    <w:rsid w:val="003512B0"/>
    <w:rsid w:val="00351689"/>
    <w:rsid w:val="00352194"/>
    <w:rsid w:val="00352E9B"/>
    <w:rsid w:val="0035445D"/>
    <w:rsid w:val="00354923"/>
    <w:rsid w:val="00355DA1"/>
    <w:rsid w:val="00361619"/>
    <w:rsid w:val="00364121"/>
    <w:rsid w:val="00364BD2"/>
    <w:rsid w:val="00367677"/>
    <w:rsid w:val="00367FCE"/>
    <w:rsid w:val="00370566"/>
    <w:rsid w:val="00370F20"/>
    <w:rsid w:val="00371DE4"/>
    <w:rsid w:val="00373D0F"/>
    <w:rsid w:val="00374371"/>
    <w:rsid w:val="003748EC"/>
    <w:rsid w:val="0037505A"/>
    <w:rsid w:val="003756E7"/>
    <w:rsid w:val="003758AB"/>
    <w:rsid w:val="00376A56"/>
    <w:rsid w:val="00376F88"/>
    <w:rsid w:val="00377910"/>
    <w:rsid w:val="00381410"/>
    <w:rsid w:val="0038172A"/>
    <w:rsid w:val="00381AE6"/>
    <w:rsid w:val="00383B12"/>
    <w:rsid w:val="00386C06"/>
    <w:rsid w:val="00387E02"/>
    <w:rsid w:val="00392246"/>
    <w:rsid w:val="00392CD5"/>
    <w:rsid w:val="00392E4C"/>
    <w:rsid w:val="00395B49"/>
    <w:rsid w:val="00396250"/>
    <w:rsid w:val="00396306"/>
    <w:rsid w:val="003A1E60"/>
    <w:rsid w:val="003A2824"/>
    <w:rsid w:val="003A2EBF"/>
    <w:rsid w:val="003A51FC"/>
    <w:rsid w:val="003A5CB1"/>
    <w:rsid w:val="003A5E72"/>
    <w:rsid w:val="003A6345"/>
    <w:rsid w:val="003B08F9"/>
    <w:rsid w:val="003B107A"/>
    <w:rsid w:val="003B1B21"/>
    <w:rsid w:val="003B297F"/>
    <w:rsid w:val="003B2A28"/>
    <w:rsid w:val="003B35B1"/>
    <w:rsid w:val="003B3CF1"/>
    <w:rsid w:val="003B4197"/>
    <w:rsid w:val="003B457F"/>
    <w:rsid w:val="003B4AD8"/>
    <w:rsid w:val="003B5125"/>
    <w:rsid w:val="003B6021"/>
    <w:rsid w:val="003B632A"/>
    <w:rsid w:val="003C0A7B"/>
    <w:rsid w:val="003C1012"/>
    <w:rsid w:val="003C18AA"/>
    <w:rsid w:val="003C5762"/>
    <w:rsid w:val="003C5851"/>
    <w:rsid w:val="003C77BB"/>
    <w:rsid w:val="003D0514"/>
    <w:rsid w:val="003D0636"/>
    <w:rsid w:val="003D0986"/>
    <w:rsid w:val="003D37ED"/>
    <w:rsid w:val="003D5D0A"/>
    <w:rsid w:val="003D70F1"/>
    <w:rsid w:val="003E3891"/>
    <w:rsid w:val="003E41DE"/>
    <w:rsid w:val="003E4FE3"/>
    <w:rsid w:val="003E573C"/>
    <w:rsid w:val="003E6586"/>
    <w:rsid w:val="003E6F62"/>
    <w:rsid w:val="003E7209"/>
    <w:rsid w:val="003E7351"/>
    <w:rsid w:val="003F0DD2"/>
    <w:rsid w:val="003F101B"/>
    <w:rsid w:val="003F1063"/>
    <w:rsid w:val="003F135B"/>
    <w:rsid w:val="003F170D"/>
    <w:rsid w:val="003F25D2"/>
    <w:rsid w:val="003F3914"/>
    <w:rsid w:val="003F3F57"/>
    <w:rsid w:val="003F42BD"/>
    <w:rsid w:val="003F4BC1"/>
    <w:rsid w:val="003F5F55"/>
    <w:rsid w:val="004011CB"/>
    <w:rsid w:val="004011CE"/>
    <w:rsid w:val="004027A2"/>
    <w:rsid w:val="00402A5B"/>
    <w:rsid w:val="0040323D"/>
    <w:rsid w:val="00403606"/>
    <w:rsid w:val="004048C5"/>
    <w:rsid w:val="00405DCA"/>
    <w:rsid w:val="0040747B"/>
    <w:rsid w:val="00407EDB"/>
    <w:rsid w:val="00410B62"/>
    <w:rsid w:val="004110E3"/>
    <w:rsid w:val="0041460E"/>
    <w:rsid w:val="00414A26"/>
    <w:rsid w:val="00414EC6"/>
    <w:rsid w:val="0041616B"/>
    <w:rsid w:val="004162CB"/>
    <w:rsid w:val="00416B87"/>
    <w:rsid w:val="00416D61"/>
    <w:rsid w:val="004179C1"/>
    <w:rsid w:val="00423528"/>
    <w:rsid w:val="0042375F"/>
    <w:rsid w:val="00424CA8"/>
    <w:rsid w:val="0042687C"/>
    <w:rsid w:val="00426F48"/>
    <w:rsid w:val="004305E8"/>
    <w:rsid w:val="00430634"/>
    <w:rsid w:val="0043208D"/>
    <w:rsid w:val="0043232D"/>
    <w:rsid w:val="00433779"/>
    <w:rsid w:val="00433F5B"/>
    <w:rsid w:val="0043451E"/>
    <w:rsid w:val="00435A75"/>
    <w:rsid w:val="00435B01"/>
    <w:rsid w:val="00435D96"/>
    <w:rsid w:val="0044088F"/>
    <w:rsid w:val="004422D0"/>
    <w:rsid w:val="00446BBB"/>
    <w:rsid w:val="00447D52"/>
    <w:rsid w:val="00451F1D"/>
    <w:rsid w:val="00452396"/>
    <w:rsid w:val="00454D28"/>
    <w:rsid w:val="00454E4A"/>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80CD9"/>
    <w:rsid w:val="00482E62"/>
    <w:rsid w:val="004833F6"/>
    <w:rsid w:val="00483585"/>
    <w:rsid w:val="00485D9F"/>
    <w:rsid w:val="004863DC"/>
    <w:rsid w:val="00486497"/>
    <w:rsid w:val="00486F65"/>
    <w:rsid w:val="004902BB"/>
    <w:rsid w:val="00490600"/>
    <w:rsid w:val="004916E2"/>
    <w:rsid w:val="00492102"/>
    <w:rsid w:val="00492A22"/>
    <w:rsid w:val="004934C4"/>
    <w:rsid w:val="00493D56"/>
    <w:rsid w:val="00493E41"/>
    <w:rsid w:val="0049418D"/>
    <w:rsid w:val="00494433"/>
    <w:rsid w:val="004953F9"/>
    <w:rsid w:val="00497D07"/>
    <w:rsid w:val="004A0D3B"/>
    <w:rsid w:val="004A140C"/>
    <w:rsid w:val="004A16BE"/>
    <w:rsid w:val="004A19AB"/>
    <w:rsid w:val="004A1F72"/>
    <w:rsid w:val="004A25A2"/>
    <w:rsid w:val="004A6CDA"/>
    <w:rsid w:val="004B009D"/>
    <w:rsid w:val="004B16D4"/>
    <w:rsid w:val="004B1C63"/>
    <w:rsid w:val="004B1D84"/>
    <w:rsid w:val="004B2708"/>
    <w:rsid w:val="004B386B"/>
    <w:rsid w:val="004B6951"/>
    <w:rsid w:val="004B7023"/>
    <w:rsid w:val="004B7259"/>
    <w:rsid w:val="004C0E63"/>
    <w:rsid w:val="004C11FC"/>
    <w:rsid w:val="004C1B5D"/>
    <w:rsid w:val="004C58D3"/>
    <w:rsid w:val="004C62EA"/>
    <w:rsid w:val="004C63D1"/>
    <w:rsid w:val="004C7F21"/>
    <w:rsid w:val="004C7F68"/>
    <w:rsid w:val="004D06E4"/>
    <w:rsid w:val="004D0B05"/>
    <w:rsid w:val="004D1D87"/>
    <w:rsid w:val="004D48C1"/>
    <w:rsid w:val="004D573E"/>
    <w:rsid w:val="004D5A17"/>
    <w:rsid w:val="004D5E41"/>
    <w:rsid w:val="004D6B1F"/>
    <w:rsid w:val="004E1918"/>
    <w:rsid w:val="004E199D"/>
    <w:rsid w:val="004E1C57"/>
    <w:rsid w:val="004E29B0"/>
    <w:rsid w:val="004E3294"/>
    <w:rsid w:val="004E4552"/>
    <w:rsid w:val="004E46A8"/>
    <w:rsid w:val="004E54B5"/>
    <w:rsid w:val="004E58F9"/>
    <w:rsid w:val="004E6545"/>
    <w:rsid w:val="004E6697"/>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614C"/>
    <w:rsid w:val="005172B9"/>
    <w:rsid w:val="00517AA5"/>
    <w:rsid w:val="00517EEB"/>
    <w:rsid w:val="005208E9"/>
    <w:rsid w:val="00522E4B"/>
    <w:rsid w:val="00523B7E"/>
    <w:rsid w:val="00524E36"/>
    <w:rsid w:val="00525716"/>
    <w:rsid w:val="00525D5D"/>
    <w:rsid w:val="00527551"/>
    <w:rsid w:val="005277D9"/>
    <w:rsid w:val="005303E4"/>
    <w:rsid w:val="00530474"/>
    <w:rsid w:val="0053101B"/>
    <w:rsid w:val="0053143F"/>
    <w:rsid w:val="00531F77"/>
    <w:rsid w:val="0053377B"/>
    <w:rsid w:val="00534E60"/>
    <w:rsid w:val="005351F0"/>
    <w:rsid w:val="0053563E"/>
    <w:rsid w:val="005356F8"/>
    <w:rsid w:val="00536968"/>
    <w:rsid w:val="00536C00"/>
    <w:rsid w:val="00537230"/>
    <w:rsid w:val="005376CD"/>
    <w:rsid w:val="00537CB7"/>
    <w:rsid w:val="00540FD3"/>
    <w:rsid w:val="00542257"/>
    <w:rsid w:val="00542B7F"/>
    <w:rsid w:val="00542BB1"/>
    <w:rsid w:val="00545159"/>
    <w:rsid w:val="00547092"/>
    <w:rsid w:val="00547480"/>
    <w:rsid w:val="00550288"/>
    <w:rsid w:val="0055094D"/>
    <w:rsid w:val="00550D1C"/>
    <w:rsid w:val="00550F12"/>
    <w:rsid w:val="0055182A"/>
    <w:rsid w:val="00551E88"/>
    <w:rsid w:val="00552098"/>
    <w:rsid w:val="00552193"/>
    <w:rsid w:val="00553168"/>
    <w:rsid w:val="00553987"/>
    <w:rsid w:val="00555433"/>
    <w:rsid w:val="00556770"/>
    <w:rsid w:val="005572D2"/>
    <w:rsid w:val="00557474"/>
    <w:rsid w:val="005575F9"/>
    <w:rsid w:val="00557866"/>
    <w:rsid w:val="00557CAE"/>
    <w:rsid w:val="00560FB1"/>
    <w:rsid w:val="005613F8"/>
    <w:rsid w:val="00562FAE"/>
    <w:rsid w:val="00563746"/>
    <w:rsid w:val="00564A19"/>
    <w:rsid w:val="00564C11"/>
    <w:rsid w:val="00566BB9"/>
    <w:rsid w:val="0056795E"/>
    <w:rsid w:val="00570554"/>
    <w:rsid w:val="005717A4"/>
    <w:rsid w:val="00574527"/>
    <w:rsid w:val="00574D0B"/>
    <w:rsid w:val="00574E89"/>
    <w:rsid w:val="00575165"/>
    <w:rsid w:val="00575C75"/>
    <w:rsid w:val="005774B8"/>
    <w:rsid w:val="00581568"/>
    <w:rsid w:val="00582998"/>
    <w:rsid w:val="00582C34"/>
    <w:rsid w:val="00584AC0"/>
    <w:rsid w:val="00585884"/>
    <w:rsid w:val="005869E3"/>
    <w:rsid w:val="00587AC3"/>
    <w:rsid w:val="00592019"/>
    <w:rsid w:val="00592CE1"/>
    <w:rsid w:val="00593975"/>
    <w:rsid w:val="00594777"/>
    <w:rsid w:val="00595512"/>
    <w:rsid w:val="00595D1F"/>
    <w:rsid w:val="00596856"/>
    <w:rsid w:val="005A072B"/>
    <w:rsid w:val="005A1D0A"/>
    <w:rsid w:val="005A2B3C"/>
    <w:rsid w:val="005A39FB"/>
    <w:rsid w:val="005A3A51"/>
    <w:rsid w:val="005A447F"/>
    <w:rsid w:val="005A4E46"/>
    <w:rsid w:val="005A520F"/>
    <w:rsid w:val="005A5AEC"/>
    <w:rsid w:val="005A657C"/>
    <w:rsid w:val="005A74F4"/>
    <w:rsid w:val="005A7749"/>
    <w:rsid w:val="005A7C23"/>
    <w:rsid w:val="005B01B6"/>
    <w:rsid w:val="005B0BC6"/>
    <w:rsid w:val="005B195D"/>
    <w:rsid w:val="005B1D88"/>
    <w:rsid w:val="005B3A97"/>
    <w:rsid w:val="005B623B"/>
    <w:rsid w:val="005B6D34"/>
    <w:rsid w:val="005C027F"/>
    <w:rsid w:val="005C077F"/>
    <w:rsid w:val="005C0C29"/>
    <w:rsid w:val="005C2484"/>
    <w:rsid w:val="005C3281"/>
    <w:rsid w:val="005C3A6F"/>
    <w:rsid w:val="005C4020"/>
    <w:rsid w:val="005C44E1"/>
    <w:rsid w:val="005C46D1"/>
    <w:rsid w:val="005C4A2E"/>
    <w:rsid w:val="005C5D01"/>
    <w:rsid w:val="005C6389"/>
    <w:rsid w:val="005C6F1F"/>
    <w:rsid w:val="005C7115"/>
    <w:rsid w:val="005C7BD9"/>
    <w:rsid w:val="005D0C9E"/>
    <w:rsid w:val="005D0E50"/>
    <w:rsid w:val="005D31C8"/>
    <w:rsid w:val="005D3D29"/>
    <w:rsid w:val="005D5417"/>
    <w:rsid w:val="005D5513"/>
    <w:rsid w:val="005D7677"/>
    <w:rsid w:val="005E2314"/>
    <w:rsid w:val="005E3BE9"/>
    <w:rsid w:val="005E4484"/>
    <w:rsid w:val="005E4FAB"/>
    <w:rsid w:val="005E500C"/>
    <w:rsid w:val="005E503E"/>
    <w:rsid w:val="005E7908"/>
    <w:rsid w:val="005F04CB"/>
    <w:rsid w:val="005F072C"/>
    <w:rsid w:val="005F1C1D"/>
    <w:rsid w:val="005F1E94"/>
    <w:rsid w:val="005F3589"/>
    <w:rsid w:val="005F3A43"/>
    <w:rsid w:val="005F4586"/>
    <w:rsid w:val="005F5A89"/>
    <w:rsid w:val="005F6D8A"/>
    <w:rsid w:val="005F717F"/>
    <w:rsid w:val="00600F1F"/>
    <w:rsid w:val="00605693"/>
    <w:rsid w:val="00605C92"/>
    <w:rsid w:val="00605FCF"/>
    <w:rsid w:val="006061C8"/>
    <w:rsid w:val="00606355"/>
    <w:rsid w:val="00607937"/>
    <w:rsid w:val="006101C4"/>
    <w:rsid w:val="00610605"/>
    <w:rsid w:val="00611CFD"/>
    <w:rsid w:val="006120AE"/>
    <w:rsid w:val="00613E77"/>
    <w:rsid w:val="0061409F"/>
    <w:rsid w:val="006151A6"/>
    <w:rsid w:val="0061524E"/>
    <w:rsid w:val="00615292"/>
    <w:rsid w:val="00615D8B"/>
    <w:rsid w:val="00616C7A"/>
    <w:rsid w:val="00620EDC"/>
    <w:rsid w:val="00621B29"/>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34D8"/>
    <w:rsid w:val="00644090"/>
    <w:rsid w:val="00644AA0"/>
    <w:rsid w:val="00645856"/>
    <w:rsid w:val="00645BF8"/>
    <w:rsid w:val="006475D4"/>
    <w:rsid w:val="0065149D"/>
    <w:rsid w:val="00651C24"/>
    <w:rsid w:val="00652506"/>
    <w:rsid w:val="00652B03"/>
    <w:rsid w:val="006540DB"/>
    <w:rsid w:val="0065427D"/>
    <w:rsid w:val="006549D5"/>
    <w:rsid w:val="0065696F"/>
    <w:rsid w:val="00663E46"/>
    <w:rsid w:val="006643C0"/>
    <w:rsid w:val="006652B6"/>
    <w:rsid w:val="00666279"/>
    <w:rsid w:val="00666744"/>
    <w:rsid w:val="00666D8E"/>
    <w:rsid w:val="00667153"/>
    <w:rsid w:val="00670050"/>
    <w:rsid w:val="00670A5B"/>
    <w:rsid w:val="0067116A"/>
    <w:rsid w:val="00671951"/>
    <w:rsid w:val="00671A84"/>
    <w:rsid w:val="006743B9"/>
    <w:rsid w:val="00674AB7"/>
    <w:rsid w:val="0067503D"/>
    <w:rsid w:val="00675DCF"/>
    <w:rsid w:val="00675E5F"/>
    <w:rsid w:val="006767A4"/>
    <w:rsid w:val="00676EBA"/>
    <w:rsid w:val="00680D1D"/>
    <w:rsid w:val="00681051"/>
    <w:rsid w:val="00681E7F"/>
    <w:rsid w:val="00682E70"/>
    <w:rsid w:val="006830C9"/>
    <w:rsid w:val="0068330A"/>
    <w:rsid w:val="00683B09"/>
    <w:rsid w:val="00683C5F"/>
    <w:rsid w:val="00683D38"/>
    <w:rsid w:val="00684203"/>
    <w:rsid w:val="00684659"/>
    <w:rsid w:val="0068790B"/>
    <w:rsid w:val="0069130D"/>
    <w:rsid w:val="00692855"/>
    <w:rsid w:val="00692CEC"/>
    <w:rsid w:val="006935D0"/>
    <w:rsid w:val="00694D48"/>
    <w:rsid w:val="00696A34"/>
    <w:rsid w:val="00697940"/>
    <w:rsid w:val="006A0765"/>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C0A"/>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24FC"/>
    <w:rsid w:val="006E25A7"/>
    <w:rsid w:val="006E33FF"/>
    <w:rsid w:val="006E4258"/>
    <w:rsid w:val="006E66A7"/>
    <w:rsid w:val="006E717B"/>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5406"/>
    <w:rsid w:val="007058C7"/>
    <w:rsid w:val="00707D6F"/>
    <w:rsid w:val="00711503"/>
    <w:rsid w:val="00712DD0"/>
    <w:rsid w:val="00713842"/>
    <w:rsid w:val="0071577D"/>
    <w:rsid w:val="00717356"/>
    <w:rsid w:val="007214DD"/>
    <w:rsid w:val="00721ABD"/>
    <w:rsid w:val="00722955"/>
    <w:rsid w:val="00723DB7"/>
    <w:rsid w:val="00724102"/>
    <w:rsid w:val="0072543D"/>
    <w:rsid w:val="00726CFD"/>
    <w:rsid w:val="00727B2B"/>
    <w:rsid w:val="00730D5E"/>
    <w:rsid w:val="007317B5"/>
    <w:rsid w:val="00732DF0"/>
    <w:rsid w:val="00733172"/>
    <w:rsid w:val="00733E68"/>
    <w:rsid w:val="0073532C"/>
    <w:rsid w:val="00735D64"/>
    <w:rsid w:val="00736133"/>
    <w:rsid w:val="007363E3"/>
    <w:rsid w:val="00736824"/>
    <w:rsid w:val="00741488"/>
    <w:rsid w:val="00741A0E"/>
    <w:rsid w:val="007427D6"/>
    <w:rsid w:val="0074281F"/>
    <w:rsid w:val="00742F4C"/>
    <w:rsid w:val="007433EF"/>
    <w:rsid w:val="0074357D"/>
    <w:rsid w:val="00743C34"/>
    <w:rsid w:val="0074421A"/>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F1B"/>
    <w:rsid w:val="00760786"/>
    <w:rsid w:val="00760C7F"/>
    <w:rsid w:val="00761065"/>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1E22"/>
    <w:rsid w:val="00781FF2"/>
    <w:rsid w:val="00782220"/>
    <w:rsid w:val="007823A0"/>
    <w:rsid w:val="007827F4"/>
    <w:rsid w:val="007832EB"/>
    <w:rsid w:val="00783C0C"/>
    <w:rsid w:val="00784BD7"/>
    <w:rsid w:val="00785555"/>
    <w:rsid w:val="00785D8F"/>
    <w:rsid w:val="0078711F"/>
    <w:rsid w:val="00787878"/>
    <w:rsid w:val="0078792A"/>
    <w:rsid w:val="00787D8F"/>
    <w:rsid w:val="007924AB"/>
    <w:rsid w:val="00792608"/>
    <w:rsid w:val="0079386F"/>
    <w:rsid w:val="00795BB5"/>
    <w:rsid w:val="00796D83"/>
    <w:rsid w:val="00796F3C"/>
    <w:rsid w:val="007971B9"/>
    <w:rsid w:val="007971D2"/>
    <w:rsid w:val="007A069F"/>
    <w:rsid w:val="007A0BA0"/>
    <w:rsid w:val="007A2675"/>
    <w:rsid w:val="007A2ED6"/>
    <w:rsid w:val="007A3123"/>
    <w:rsid w:val="007A487E"/>
    <w:rsid w:val="007A7B2B"/>
    <w:rsid w:val="007B0073"/>
    <w:rsid w:val="007B1209"/>
    <w:rsid w:val="007B3130"/>
    <w:rsid w:val="007B356A"/>
    <w:rsid w:val="007B4EBA"/>
    <w:rsid w:val="007B7657"/>
    <w:rsid w:val="007C0925"/>
    <w:rsid w:val="007C17DD"/>
    <w:rsid w:val="007C1A3D"/>
    <w:rsid w:val="007C20BB"/>
    <w:rsid w:val="007C4C5D"/>
    <w:rsid w:val="007C5C31"/>
    <w:rsid w:val="007C702E"/>
    <w:rsid w:val="007C769C"/>
    <w:rsid w:val="007C7EC6"/>
    <w:rsid w:val="007D08F5"/>
    <w:rsid w:val="007D0A77"/>
    <w:rsid w:val="007D19C3"/>
    <w:rsid w:val="007D1EA4"/>
    <w:rsid w:val="007D37A1"/>
    <w:rsid w:val="007D3D16"/>
    <w:rsid w:val="007D4952"/>
    <w:rsid w:val="007D55BB"/>
    <w:rsid w:val="007D7588"/>
    <w:rsid w:val="007D770D"/>
    <w:rsid w:val="007D7811"/>
    <w:rsid w:val="007E0DC0"/>
    <w:rsid w:val="007E17CA"/>
    <w:rsid w:val="007E23A7"/>
    <w:rsid w:val="007E44C2"/>
    <w:rsid w:val="007E51AE"/>
    <w:rsid w:val="007E5E0E"/>
    <w:rsid w:val="007E621A"/>
    <w:rsid w:val="007E6E4C"/>
    <w:rsid w:val="007E7D19"/>
    <w:rsid w:val="007F096F"/>
    <w:rsid w:val="007F1A97"/>
    <w:rsid w:val="007F2BAE"/>
    <w:rsid w:val="007F3CD9"/>
    <w:rsid w:val="007F3D9A"/>
    <w:rsid w:val="007F3F1D"/>
    <w:rsid w:val="007F4143"/>
    <w:rsid w:val="007F5470"/>
    <w:rsid w:val="007F54CC"/>
    <w:rsid w:val="007F5B81"/>
    <w:rsid w:val="007F7B8F"/>
    <w:rsid w:val="008010AC"/>
    <w:rsid w:val="008011A5"/>
    <w:rsid w:val="00801928"/>
    <w:rsid w:val="00801D57"/>
    <w:rsid w:val="0080204F"/>
    <w:rsid w:val="00802580"/>
    <w:rsid w:val="00803C61"/>
    <w:rsid w:val="00804DDD"/>
    <w:rsid w:val="00805196"/>
    <w:rsid w:val="00805342"/>
    <w:rsid w:val="00805D2E"/>
    <w:rsid w:val="0080645C"/>
    <w:rsid w:val="00806655"/>
    <w:rsid w:val="008076C9"/>
    <w:rsid w:val="0081080A"/>
    <w:rsid w:val="008115C9"/>
    <w:rsid w:val="0081345C"/>
    <w:rsid w:val="00814EB4"/>
    <w:rsid w:val="00815EE1"/>
    <w:rsid w:val="00816646"/>
    <w:rsid w:val="008178FA"/>
    <w:rsid w:val="0082037F"/>
    <w:rsid w:val="00821CE1"/>
    <w:rsid w:val="00821F08"/>
    <w:rsid w:val="00822498"/>
    <w:rsid w:val="008224A2"/>
    <w:rsid w:val="00823D79"/>
    <w:rsid w:val="0082470B"/>
    <w:rsid w:val="008249A8"/>
    <w:rsid w:val="0082633B"/>
    <w:rsid w:val="00826C7A"/>
    <w:rsid w:val="00827556"/>
    <w:rsid w:val="008277C3"/>
    <w:rsid w:val="00832AE2"/>
    <w:rsid w:val="00832BB1"/>
    <w:rsid w:val="008337F4"/>
    <w:rsid w:val="00833F26"/>
    <w:rsid w:val="0083479F"/>
    <w:rsid w:val="00837442"/>
    <w:rsid w:val="00837C02"/>
    <w:rsid w:val="0084132C"/>
    <w:rsid w:val="0084460F"/>
    <w:rsid w:val="00844C2A"/>
    <w:rsid w:val="008451B0"/>
    <w:rsid w:val="008459E1"/>
    <w:rsid w:val="00845B31"/>
    <w:rsid w:val="00846DC9"/>
    <w:rsid w:val="00847250"/>
    <w:rsid w:val="00850D92"/>
    <w:rsid w:val="00850EBB"/>
    <w:rsid w:val="0085184E"/>
    <w:rsid w:val="00851C9A"/>
    <w:rsid w:val="00851DB4"/>
    <w:rsid w:val="00851E6A"/>
    <w:rsid w:val="00852EA0"/>
    <w:rsid w:val="00853F0C"/>
    <w:rsid w:val="008551BF"/>
    <w:rsid w:val="00855B0C"/>
    <w:rsid w:val="0085737D"/>
    <w:rsid w:val="00857456"/>
    <w:rsid w:val="0085763B"/>
    <w:rsid w:val="00857AE6"/>
    <w:rsid w:val="00861968"/>
    <w:rsid w:val="00862BC6"/>
    <w:rsid w:val="00863DD6"/>
    <w:rsid w:val="00864FB9"/>
    <w:rsid w:val="00865367"/>
    <w:rsid w:val="00872365"/>
    <w:rsid w:val="00873BB2"/>
    <w:rsid w:val="00874DEF"/>
    <w:rsid w:val="00877210"/>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A17"/>
    <w:rsid w:val="008A294B"/>
    <w:rsid w:val="008A56FC"/>
    <w:rsid w:val="008A6623"/>
    <w:rsid w:val="008A79B4"/>
    <w:rsid w:val="008A7C7F"/>
    <w:rsid w:val="008A7D73"/>
    <w:rsid w:val="008A7D7F"/>
    <w:rsid w:val="008B05E6"/>
    <w:rsid w:val="008B1979"/>
    <w:rsid w:val="008B206D"/>
    <w:rsid w:val="008B2860"/>
    <w:rsid w:val="008B2BE5"/>
    <w:rsid w:val="008B30B6"/>
    <w:rsid w:val="008B3BE5"/>
    <w:rsid w:val="008B3C26"/>
    <w:rsid w:val="008B43D6"/>
    <w:rsid w:val="008B4D0D"/>
    <w:rsid w:val="008B556B"/>
    <w:rsid w:val="008B5BA6"/>
    <w:rsid w:val="008B5C86"/>
    <w:rsid w:val="008B7054"/>
    <w:rsid w:val="008B73B9"/>
    <w:rsid w:val="008B7637"/>
    <w:rsid w:val="008C2642"/>
    <w:rsid w:val="008C36C1"/>
    <w:rsid w:val="008C6019"/>
    <w:rsid w:val="008C6192"/>
    <w:rsid w:val="008C7EF6"/>
    <w:rsid w:val="008D0435"/>
    <w:rsid w:val="008D29DC"/>
    <w:rsid w:val="008D2CD6"/>
    <w:rsid w:val="008D456D"/>
    <w:rsid w:val="008D6905"/>
    <w:rsid w:val="008D6A41"/>
    <w:rsid w:val="008D78FE"/>
    <w:rsid w:val="008E04EC"/>
    <w:rsid w:val="008E0EA7"/>
    <w:rsid w:val="008E243A"/>
    <w:rsid w:val="008E3200"/>
    <w:rsid w:val="008E3BD4"/>
    <w:rsid w:val="008E6DCE"/>
    <w:rsid w:val="008E6EB7"/>
    <w:rsid w:val="008E7AFF"/>
    <w:rsid w:val="008F3033"/>
    <w:rsid w:val="008F333C"/>
    <w:rsid w:val="008F570D"/>
    <w:rsid w:val="008F6DD0"/>
    <w:rsid w:val="008F71C6"/>
    <w:rsid w:val="008F77D1"/>
    <w:rsid w:val="00900816"/>
    <w:rsid w:val="009009C0"/>
    <w:rsid w:val="00901FE0"/>
    <w:rsid w:val="00903DAF"/>
    <w:rsid w:val="00905785"/>
    <w:rsid w:val="009057E1"/>
    <w:rsid w:val="009062B5"/>
    <w:rsid w:val="00906F10"/>
    <w:rsid w:val="00911638"/>
    <w:rsid w:val="009126EC"/>
    <w:rsid w:val="0091284D"/>
    <w:rsid w:val="00912A19"/>
    <w:rsid w:val="00912E39"/>
    <w:rsid w:val="00914DE8"/>
    <w:rsid w:val="009243CB"/>
    <w:rsid w:val="009247B1"/>
    <w:rsid w:val="00924A3E"/>
    <w:rsid w:val="00926B6A"/>
    <w:rsid w:val="00927494"/>
    <w:rsid w:val="009277F9"/>
    <w:rsid w:val="009300BA"/>
    <w:rsid w:val="00931081"/>
    <w:rsid w:val="00931BC1"/>
    <w:rsid w:val="00932211"/>
    <w:rsid w:val="00932C1E"/>
    <w:rsid w:val="00933221"/>
    <w:rsid w:val="00933F66"/>
    <w:rsid w:val="00937268"/>
    <w:rsid w:val="009376AF"/>
    <w:rsid w:val="0093787C"/>
    <w:rsid w:val="0094157C"/>
    <w:rsid w:val="00941E85"/>
    <w:rsid w:val="00942E07"/>
    <w:rsid w:val="00943444"/>
    <w:rsid w:val="0094348A"/>
    <w:rsid w:val="009441FB"/>
    <w:rsid w:val="009454A8"/>
    <w:rsid w:val="0094622B"/>
    <w:rsid w:val="00946637"/>
    <w:rsid w:val="009467D7"/>
    <w:rsid w:val="009479F9"/>
    <w:rsid w:val="00947C81"/>
    <w:rsid w:val="00950ECA"/>
    <w:rsid w:val="009515FE"/>
    <w:rsid w:val="00952723"/>
    <w:rsid w:val="0095283F"/>
    <w:rsid w:val="00952BD9"/>
    <w:rsid w:val="00954047"/>
    <w:rsid w:val="009544A2"/>
    <w:rsid w:val="0095519B"/>
    <w:rsid w:val="00955803"/>
    <w:rsid w:val="009560C0"/>
    <w:rsid w:val="00956967"/>
    <w:rsid w:val="00956AE6"/>
    <w:rsid w:val="00956ED1"/>
    <w:rsid w:val="00961D3B"/>
    <w:rsid w:val="00962381"/>
    <w:rsid w:val="00962992"/>
    <w:rsid w:val="0096384C"/>
    <w:rsid w:val="00963D9E"/>
    <w:rsid w:val="00964374"/>
    <w:rsid w:val="009647D6"/>
    <w:rsid w:val="00965DBC"/>
    <w:rsid w:val="00967589"/>
    <w:rsid w:val="00967664"/>
    <w:rsid w:val="0097076F"/>
    <w:rsid w:val="00971106"/>
    <w:rsid w:val="00971D01"/>
    <w:rsid w:val="00972A53"/>
    <w:rsid w:val="00973222"/>
    <w:rsid w:val="00973AE9"/>
    <w:rsid w:val="009756F6"/>
    <w:rsid w:val="00975D73"/>
    <w:rsid w:val="0097611B"/>
    <w:rsid w:val="009762AA"/>
    <w:rsid w:val="0097648B"/>
    <w:rsid w:val="009773CA"/>
    <w:rsid w:val="0097781B"/>
    <w:rsid w:val="0098009E"/>
    <w:rsid w:val="0098027F"/>
    <w:rsid w:val="00981D82"/>
    <w:rsid w:val="00983042"/>
    <w:rsid w:val="0098347F"/>
    <w:rsid w:val="0098583F"/>
    <w:rsid w:val="00986477"/>
    <w:rsid w:val="0098784C"/>
    <w:rsid w:val="009901E2"/>
    <w:rsid w:val="00990C6A"/>
    <w:rsid w:val="009918B3"/>
    <w:rsid w:val="00991DE5"/>
    <w:rsid w:val="00991F8C"/>
    <w:rsid w:val="00992F80"/>
    <w:rsid w:val="009958C4"/>
    <w:rsid w:val="00995CC9"/>
    <w:rsid w:val="00996781"/>
    <w:rsid w:val="00996D0B"/>
    <w:rsid w:val="009972CF"/>
    <w:rsid w:val="0099758C"/>
    <w:rsid w:val="009A02C6"/>
    <w:rsid w:val="009A0378"/>
    <w:rsid w:val="009A08F8"/>
    <w:rsid w:val="009A10CE"/>
    <w:rsid w:val="009A1166"/>
    <w:rsid w:val="009A1756"/>
    <w:rsid w:val="009A20F1"/>
    <w:rsid w:val="009A3ADA"/>
    <w:rsid w:val="009A4E0F"/>
    <w:rsid w:val="009A50C3"/>
    <w:rsid w:val="009A64C2"/>
    <w:rsid w:val="009B0A7F"/>
    <w:rsid w:val="009B0D10"/>
    <w:rsid w:val="009B2000"/>
    <w:rsid w:val="009B590C"/>
    <w:rsid w:val="009B7148"/>
    <w:rsid w:val="009B75A4"/>
    <w:rsid w:val="009B7870"/>
    <w:rsid w:val="009C1C58"/>
    <w:rsid w:val="009C2743"/>
    <w:rsid w:val="009C2798"/>
    <w:rsid w:val="009C41B6"/>
    <w:rsid w:val="009C4721"/>
    <w:rsid w:val="009C51EF"/>
    <w:rsid w:val="009C549A"/>
    <w:rsid w:val="009C5BE2"/>
    <w:rsid w:val="009C70DF"/>
    <w:rsid w:val="009C75BF"/>
    <w:rsid w:val="009D0440"/>
    <w:rsid w:val="009D059D"/>
    <w:rsid w:val="009D0E3B"/>
    <w:rsid w:val="009D1435"/>
    <w:rsid w:val="009D22BA"/>
    <w:rsid w:val="009D2D8D"/>
    <w:rsid w:val="009D36A6"/>
    <w:rsid w:val="009D421D"/>
    <w:rsid w:val="009D4291"/>
    <w:rsid w:val="009D5225"/>
    <w:rsid w:val="009D69A1"/>
    <w:rsid w:val="009D6D80"/>
    <w:rsid w:val="009D70DC"/>
    <w:rsid w:val="009E15CA"/>
    <w:rsid w:val="009E27AB"/>
    <w:rsid w:val="009E2BB6"/>
    <w:rsid w:val="009E3B38"/>
    <w:rsid w:val="009E4477"/>
    <w:rsid w:val="009E4C25"/>
    <w:rsid w:val="009E5054"/>
    <w:rsid w:val="009E535D"/>
    <w:rsid w:val="009E654B"/>
    <w:rsid w:val="009F05A5"/>
    <w:rsid w:val="009F148C"/>
    <w:rsid w:val="009F25A0"/>
    <w:rsid w:val="009F2EFE"/>
    <w:rsid w:val="009F2F79"/>
    <w:rsid w:val="009F43DC"/>
    <w:rsid w:val="009F5621"/>
    <w:rsid w:val="009F5B71"/>
    <w:rsid w:val="009F7FDD"/>
    <w:rsid w:val="00A01572"/>
    <w:rsid w:val="00A01FD7"/>
    <w:rsid w:val="00A045CE"/>
    <w:rsid w:val="00A05BC2"/>
    <w:rsid w:val="00A05E34"/>
    <w:rsid w:val="00A06600"/>
    <w:rsid w:val="00A107A6"/>
    <w:rsid w:val="00A10B13"/>
    <w:rsid w:val="00A127B8"/>
    <w:rsid w:val="00A1470E"/>
    <w:rsid w:val="00A147E1"/>
    <w:rsid w:val="00A14F5B"/>
    <w:rsid w:val="00A15247"/>
    <w:rsid w:val="00A15749"/>
    <w:rsid w:val="00A16140"/>
    <w:rsid w:val="00A1626A"/>
    <w:rsid w:val="00A16CCD"/>
    <w:rsid w:val="00A2015A"/>
    <w:rsid w:val="00A20F57"/>
    <w:rsid w:val="00A24A60"/>
    <w:rsid w:val="00A259AC"/>
    <w:rsid w:val="00A26FF5"/>
    <w:rsid w:val="00A304B0"/>
    <w:rsid w:val="00A30AEF"/>
    <w:rsid w:val="00A32984"/>
    <w:rsid w:val="00A33546"/>
    <w:rsid w:val="00A337A0"/>
    <w:rsid w:val="00A35DA3"/>
    <w:rsid w:val="00A36087"/>
    <w:rsid w:val="00A3615C"/>
    <w:rsid w:val="00A3683B"/>
    <w:rsid w:val="00A43537"/>
    <w:rsid w:val="00A43CF0"/>
    <w:rsid w:val="00A4435C"/>
    <w:rsid w:val="00A449BD"/>
    <w:rsid w:val="00A45293"/>
    <w:rsid w:val="00A458C8"/>
    <w:rsid w:val="00A45AE4"/>
    <w:rsid w:val="00A45D33"/>
    <w:rsid w:val="00A46B17"/>
    <w:rsid w:val="00A46D7B"/>
    <w:rsid w:val="00A46E0F"/>
    <w:rsid w:val="00A4781D"/>
    <w:rsid w:val="00A50D97"/>
    <w:rsid w:val="00A5214B"/>
    <w:rsid w:val="00A5289F"/>
    <w:rsid w:val="00A52A63"/>
    <w:rsid w:val="00A5337A"/>
    <w:rsid w:val="00A53622"/>
    <w:rsid w:val="00A53C66"/>
    <w:rsid w:val="00A53E5E"/>
    <w:rsid w:val="00A562FA"/>
    <w:rsid w:val="00A5707B"/>
    <w:rsid w:val="00A57387"/>
    <w:rsid w:val="00A57F41"/>
    <w:rsid w:val="00A600A2"/>
    <w:rsid w:val="00A61C44"/>
    <w:rsid w:val="00A62A7C"/>
    <w:rsid w:val="00A6346A"/>
    <w:rsid w:val="00A63B94"/>
    <w:rsid w:val="00A64BEB"/>
    <w:rsid w:val="00A6555E"/>
    <w:rsid w:val="00A70026"/>
    <w:rsid w:val="00A70968"/>
    <w:rsid w:val="00A731AC"/>
    <w:rsid w:val="00A74C61"/>
    <w:rsid w:val="00A759EC"/>
    <w:rsid w:val="00A75E6C"/>
    <w:rsid w:val="00A76832"/>
    <w:rsid w:val="00A773F4"/>
    <w:rsid w:val="00A77CB7"/>
    <w:rsid w:val="00A80643"/>
    <w:rsid w:val="00A8283A"/>
    <w:rsid w:val="00A830F5"/>
    <w:rsid w:val="00A84539"/>
    <w:rsid w:val="00A8631D"/>
    <w:rsid w:val="00A865F0"/>
    <w:rsid w:val="00A870B9"/>
    <w:rsid w:val="00A877FC"/>
    <w:rsid w:val="00A879AE"/>
    <w:rsid w:val="00A90B1E"/>
    <w:rsid w:val="00A90F16"/>
    <w:rsid w:val="00A90F17"/>
    <w:rsid w:val="00A96845"/>
    <w:rsid w:val="00A97559"/>
    <w:rsid w:val="00A97F64"/>
    <w:rsid w:val="00AA1E3F"/>
    <w:rsid w:val="00AA1EF2"/>
    <w:rsid w:val="00AA25C7"/>
    <w:rsid w:val="00AA324F"/>
    <w:rsid w:val="00AA3A18"/>
    <w:rsid w:val="00AA4A5F"/>
    <w:rsid w:val="00AA5F26"/>
    <w:rsid w:val="00AB0954"/>
    <w:rsid w:val="00AB0EB2"/>
    <w:rsid w:val="00AB22D5"/>
    <w:rsid w:val="00AB254C"/>
    <w:rsid w:val="00AB25F0"/>
    <w:rsid w:val="00AB67A5"/>
    <w:rsid w:val="00AB7549"/>
    <w:rsid w:val="00AB756D"/>
    <w:rsid w:val="00AC049F"/>
    <w:rsid w:val="00AC130A"/>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E2C"/>
    <w:rsid w:val="00AD420F"/>
    <w:rsid w:val="00AD547F"/>
    <w:rsid w:val="00AD6656"/>
    <w:rsid w:val="00AD7277"/>
    <w:rsid w:val="00AE05ED"/>
    <w:rsid w:val="00AE07E0"/>
    <w:rsid w:val="00AE0862"/>
    <w:rsid w:val="00AE0A9A"/>
    <w:rsid w:val="00AE148F"/>
    <w:rsid w:val="00AE2615"/>
    <w:rsid w:val="00AE3F99"/>
    <w:rsid w:val="00AE6738"/>
    <w:rsid w:val="00AE7BAB"/>
    <w:rsid w:val="00AE7D9C"/>
    <w:rsid w:val="00AF00D7"/>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3BED"/>
    <w:rsid w:val="00B14D06"/>
    <w:rsid w:val="00B16383"/>
    <w:rsid w:val="00B16721"/>
    <w:rsid w:val="00B175CA"/>
    <w:rsid w:val="00B202D6"/>
    <w:rsid w:val="00B22D0B"/>
    <w:rsid w:val="00B2327C"/>
    <w:rsid w:val="00B24FCC"/>
    <w:rsid w:val="00B256D6"/>
    <w:rsid w:val="00B26AB0"/>
    <w:rsid w:val="00B27E4A"/>
    <w:rsid w:val="00B3135A"/>
    <w:rsid w:val="00B37D3C"/>
    <w:rsid w:val="00B40596"/>
    <w:rsid w:val="00B405DD"/>
    <w:rsid w:val="00B41032"/>
    <w:rsid w:val="00B4157A"/>
    <w:rsid w:val="00B4254C"/>
    <w:rsid w:val="00B4498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5640"/>
    <w:rsid w:val="00B65C6B"/>
    <w:rsid w:val="00B66130"/>
    <w:rsid w:val="00B67E27"/>
    <w:rsid w:val="00B700E3"/>
    <w:rsid w:val="00B70983"/>
    <w:rsid w:val="00B71554"/>
    <w:rsid w:val="00B7288E"/>
    <w:rsid w:val="00B73EF1"/>
    <w:rsid w:val="00B763F9"/>
    <w:rsid w:val="00B76A92"/>
    <w:rsid w:val="00B77719"/>
    <w:rsid w:val="00B77EA5"/>
    <w:rsid w:val="00B80FAC"/>
    <w:rsid w:val="00B8141F"/>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8C7"/>
    <w:rsid w:val="00BA4A49"/>
    <w:rsid w:val="00BA54BB"/>
    <w:rsid w:val="00BA7EF3"/>
    <w:rsid w:val="00BB00A5"/>
    <w:rsid w:val="00BB0977"/>
    <w:rsid w:val="00BB0CAB"/>
    <w:rsid w:val="00BB1628"/>
    <w:rsid w:val="00BB43F7"/>
    <w:rsid w:val="00BB46B5"/>
    <w:rsid w:val="00BB4D70"/>
    <w:rsid w:val="00BB67C6"/>
    <w:rsid w:val="00BB7124"/>
    <w:rsid w:val="00BB7716"/>
    <w:rsid w:val="00BB7DCB"/>
    <w:rsid w:val="00BC0950"/>
    <w:rsid w:val="00BC0A66"/>
    <w:rsid w:val="00BC38A9"/>
    <w:rsid w:val="00BC3E66"/>
    <w:rsid w:val="00BC4C76"/>
    <w:rsid w:val="00BC4ED1"/>
    <w:rsid w:val="00BC503D"/>
    <w:rsid w:val="00BC7BA8"/>
    <w:rsid w:val="00BD0D24"/>
    <w:rsid w:val="00BD0DF6"/>
    <w:rsid w:val="00BD12F2"/>
    <w:rsid w:val="00BD17F8"/>
    <w:rsid w:val="00BD267E"/>
    <w:rsid w:val="00BD3900"/>
    <w:rsid w:val="00BD3F71"/>
    <w:rsid w:val="00BD6B63"/>
    <w:rsid w:val="00BD6CA8"/>
    <w:rsid w:val="00BD7067"/>
    <w:rsid w:val="00BE0789"/>
    <w:rsid w:val="00BE19B4"/>
    <w:rsid w:val="00BE1EA1"/>
    <w:rsid w:val="00BE274F"/>
    <w:rsid w:val="00BE4A69"/>
    <w:rsid w:val="00BE6722"/>
    <w:rsid w:val="00BE6F33"/>
    <w:rsid w:val="00BF0F7E"/>
    <w:rsid w:val="00BF1057"/>
    <w:rsid w:val="00BF224F"/>
    <w:rsid w:val="00BF26E0"/>
    <w:rsid w:val="00BF45A0"/>
    <w:rsid w:val="00BF5B3C"/>
    <w:rsid w:val="00BF5F7B"/>
    <w:rsid w:val="00BF6C9E"/>
    <w:rsid w:val="00C00600"/>
    <w:rsid w:val="00C0090F"/>
    <w:rsid w:val="00C0280D"/>
    <w:rsid w:val="00C0382D"/>
    <w:rsid w:val="00C03C8F"/>
    <w:rsid w:val="00C048E4"/>
    <w:rsid w:val="00C05E29"/>
    <w:rsid w:val="00C0647D"/>
    <w:rsid w:val="00C06D77"/>
    <w:rsid w:val="00C077ED"/>
    <w:rsid w:val="00C102A8"/>
    <w:rsid w:val="00C10A0E"/>
    <w:rsid w:val="00C1209C"/>
    <w:rsid w:val="00C12939"/>
    <w:rsid w:val="00C12A29"/>
    <w:rsid w:val="00C13441"/>
    <w:rsid w:val="00C13EA5"/>
    <w:rsid w:val="00C14078"/>
    <w:rsid w:val="00C16AEB"/>
    <w:rsid w:val="00C16D5E"/>
    <w:rsid w:val="00C178A1"/>
    <w:rsid w:val="00C203D0"/>
    <w:rsid w:val="00C20B49"/>
    <w:rsid w:val="00C22128"/>
    <w:rsid w:val="00C22E25"/>
    <w:rsid w:val="00C232CC"/>
    <w:rsid w:val="00C26165"/>
    <w:rsid w:val="00C3152E"/>
    <w:rsid w:val="00C319BE"/>
    <w:rsid w:val="00C334F1"/>
    <w:rsid w:val="00C33620"/>
    <w:rsid w:val="00C33BBE"/>
    <w:rsid w:val="00C33E45"/>
    <w:rsid w:val="00C34162"/>
    <w:rsid w:val="00C3429D"/>
    <w:rsid w:val="00C342FD"/>
    <w:rsid w:val="00C343D9"/>
    <w:rsid w:val="00C3722F"/>
    <w:rsid w:val="00C37525"/>
    <w:rsid w:val="00C40C6F"/>
    <w:rsid w:val="00C41B46"/>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756"/>
    <w:rsid w:val="00C7799C"/>
    <w:rsid w:val="00C77D71"/>
    <w:rsid w:val="00C80341"/>
    <w:rsid w:val="00C8077F"/>
    <w:rsid w:val="00C8230C"/>
    <w:rsid w:val="00C845FC"/>
    <w:rsid w:val="00C84AD2"/>
    <w:rsid w:val="00C85294"/>
    <w:rsid w:val="00C86977"/>
    <w:rsid w:val="00C87F68"/>
    <w:rsid w:val="00C91572"/>
    <w:rsid w:val="00C9230B"/>
    <w:rsid w:val="00C9563D"/>
    <w:rsid w:val="00C95861"/>
    <w:rsid w:val="00C9652B"/>
    <w:rsid w:val="00C96572"/>
    <w:rsid w:val="00C97A3B"/>
    <w:rsid w:val="00CA033D"/>
    <w:rsid w:val="00CA06A2"/>
    <w:rsid w:val="00CA295F"/>
    <w:rsid w:val="00CA2D54"/>
    <w:rsid w:val="00CA32CB"/>
    <w:rsid w:val="00CA3639"/>
    <w:rsid w:val="00CA3CDD"/>
    <w:rsid w:val="00CA538D"/>
    <w:rsid w:val="00CA5426"/>
    <w:rsid w:val="00CA549A"/>
    <w:rsid w:val="00CA63A5"/>
    <w:rsid w:val="00CA665E"/>
    <w:rsid w:val="00CB07EA"/>
    <w:rsid w:val="00CB0A88"/>
    <w:rsid w:val="00CB4421"/>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6345"/>
    <w:rsid w:val="00CD638E"/>
    <w:rsid w:val="00CD6DE6"/>
    <w:rsid w:val="00CD7603"/>
    <w:rsid w:val="00CD7B55"/>
    <w:rsid w:val="00CE1168"/>
    <w:rsid w:val="00CE23D0"/>
    <w:rsid w:val="00CE3838"/>
    <w:rsid w:val="00CE6E11"/>
    <w:rsid w:val="00CE736C"/>
    <w:rsid w:val="00CE7F04"/>
    <w:rsid w:val="00CE7FCF"/>
    <w:rsid w:val="00CF0AD3"/>
    <w:rsid w:val="00CF0FE0"/>
    <w:rsid w:val="00CF13FE"/>
    <w:rsid w:val="00CF1875"/>
    <w:rsid w:val="00CF1EB5"/>
    <w:rsid w:val="00CF2746"/>
    <w:rsid w:val="00CF2C66"/>
    <w:rsid w:val="00CF58F1"/>
    <w:rsid w:val="00CF5E7B"/>
    <w:rsid w:val="00CF78C0"/>
    <w:rsid w:val="00CF7B17"/>
    <w:rsid w:val="00D00406"/>
    <w:rsid w:val="00D010D2"/>
    <w:rsid w:val="00D0174F"/>
    <w:rsid w:val="00D02018"/>
    <w:rsid w:val="00D02410"/>
    <w:rsid w:val="00D02B82"/>
    <w:rsid w:val="00D02BE1"/>
    <w:rsid w:val="00D0338F"/>
    <w:rsid w:val="00D05CB2"/>
    <w:rsid w:val="00D06344"/>
    <w:rsid w:val="00D10310"/>
    <w:rsid w:val="00D111B0"/>
    <w:rsid w:val="00D118CA"/>
    <w:rsid w:val="00D128FA"/>
    <w:rsid w:val="00D13683"/>
    <w:rsid w:val="00D13CA9"/>
    <w:rsid w:val="00D14661"/>
    <w:rsid w:val="00D14A6B"/>
    <w:rsid w:val="00D15287"/>
    <w:rsid w:val="00D155E6"/>
    <w:rsid w:val="00D24115"/>
    <w:rsid w:val="00D241F0"/>
    <w:rsid w:val="00D24495"/>
    <w:rsid w:val="00D26FBD"/>
    <w:rsid w:val="00D278E7"/>
    <w:rsid w:val="00D27DC9"/>
    <w:rsid w:val="00D27EC1"/>
    <w:rsid w:val="00D30A2F"/>
    <w:rsid w:val="00D3420F"/>
    <w:rsid w:val="00D34812"/>
    <w:rsid w:val="00D34AB3"/>
    <w:rsid w:val="00D34DA4"/>
    <w:rsid w:val="00D352C7"/>
    <w:rsid w:val="00D355EE"/>
    <w:rsid w:val="00D367AA"/>
    <w:rsid w:val="00D37072"/>
    <w:rsid w:val="00D379EB"/>
    <w:rsid w:val="00D37B3C"/>
    <w:rsid w:val="00D40437"/>
    <w:rsid w:val="00D40CDA"/>
    <w:rsid w:val="00D418D7"/>
    <w:rsid w:val="00D429F5"/>
    <w:rsid w:val="00D42F0F"/>
    <w:rsid w:val="00D4313F"/>
    <w:rsid w:val="00D43359"/>
    <w:rsid w:val="00D43651"/>
    <w:rsid w:val="00D43C1B"/>
    <w:rsid w:val="00D43FE7"/>
    <w:rsid w:val="00D4429E"/>
    <w:rsid w:val="00D455C0"/>
    <w:rsid w:val="00D465E4"/>
    <w:rsid w:val="00D46823"/>
    <w:rsid w:val="00D46BA1"/>
    <w:rsid w:val="00D46BBC"/>
    <w:rsid w:val="00D46FDC"/>
    <w:rsid w:val="00D50608"/>
    <w:rsid w:val="00D5061B"/>
    <w:rsid w:val="00D5089C"/>
    <w:rsid w:val="00D50E0B"/>
    <w:rsid w:val="00D51318"/>
    <w:rsid w:val="00D51BA7"/>
    <w:rsid w:val="00D52AFA"/>
    <w:rsid w:val="00D5322E"/>
    <w:rsid w:val="00D55739"/>
    <w:rsid w:val="00D5728E"/>
    <w:rsid w:val="00D6003F"/>
    <w:rsid w:val="00D6224E"/>
    <w:rsid w:val="00D622D3"/>
    <w:rsid w:val="00D62594"/>
    <w:rsid w:val="00D63D26"/>
    <w:rsid w:val="00D64D37"/>
    <w:rsid w:val="00D65077"/>
    <w:rsid w:val="00D651E3"/>
    <w:rsid w:val="00D668DC"/>
    <w:rsid w:val="00D70707"/>
    <w:rsid w:val="00D70B23"/>
    <w:rsid w:val="00D71448"/>
    <w:rsid w:val="00D71ACE"/>
    <w:rsid w:val="00D72A41"/>
    <w:rsid w:val="00D7302C"/>
    <w:rsid w:val="00D7378D"/>
    <w:rsid w:val="00D75231"/>
    <w:rsid w:val="00D753D6"/>
    <w:rsid w:val="00D75663"/>
    <w:rsid w:val="00D75F1A"/>
    <w:rsid w:val="00D76B9A"/>
    <w:rsid w:val="00D77610"/>
    <w:rsid w:val="00D80FFE"/>
    <w:rsid w:val="00D8289B"/>
    <w:rsid w:val="00D83AB7"/>
    <w:rsid w:val="00D84396"/>
    <w:rsid w:val="00D84618"/>
    <w:rsid w:val="00D85966"/>
    <w:rsid w:val="00D8639A"/>
    <w:rsid w:val="00D906BB"/>
    <w:rsid w:val="00D906CD"/>
    <w:rsid w:val="00D90B35"/>
    <w:rsid w:val="00D90CC8"/>
    <w:rsid w:val="00D917F4"/>
    <w:rsid w:val="00D933D8"/>
    <w:rsid w:val="00D95FD6"/>
    <w:rsid w:val="00DA112D"/>
    <w:rsid w:val="00DA1670"/>
    <w:rsid w:val="00DA1DE9"/>
    <w:rsid w:val="00DA238A"/>
    <w:rsid w:val="00DA239A"/>
    <w:rsid w:val="00DA25CE"/>
    <w:rsid w:val="00DA303F"/>
    <w:rsid w:val="00DA3196"/>
    <w:rsid w:val="00DA3956"/>
    <w:rsid w:val="00DA45F9"/>
    <w:rsid w:val="00DA5960"/>
    <w:rsid w:val="00DA6833"/>
    <w:rsid w:val="00DB03F4"/>
    <w:rsid w:val="00DB0914"/>
    <w:rsid w:val="00DB21AE"/>
    <w:rsid w:val="00DB21B5"/>
    <w:rsid w:val="00DB2546"/>
    <w:rsid w:val="00DB27CE"/>
    <w:rsid w:val="00DB34FE"/>
    <w:rsid w:val="00DB590C"/>
    <w:rsid w:val="00DB5B5C"/>
    <w:rsid w:val="00DB5EC2"/>
    <w:rsid w:val="00DB647B"/>
    <w:rsid w:val="00DB69DD"/>
    <w:rsid w:val="00DC0C30"/>
    <w:rsid w:val="00DC0D10"/>
    <w:rsid w:val="00DC2879"/>
    <w:rsid w:val="00DC5387"/>
    <w:rsid w:val="00DC6C9C"/>
    <w:rsid w:val="00DC7615"/>
    <w:rsid w:val="00DC7BEF"/>
    <w:rsid w:val="00DD0B79"/>
    <w:rsid w:val="00DD14E4"/>
    <w:rsid w:val="00DD4845"/>
    <w:rsid w:val="00DD54DE"/>
    <w:rsid w:val="00DD5B8F"/>
    <w:rsid w:val="00DD5D1B"/>
    <w:rsid w:val="00DD6D96"/>
    <w:rsid w:val="00DE018D"/>
    <w:rsid w:val="00DE301D"/>
    <w:rsid w:val="00DE3B79"/>
    <w:rsid w:val="00DE4BAD"/>
    <w:rsid w:val="00DE511C"/>
    <w:rsid w:val="00DE5444"/>
    <w:rsid w:val="00DE61D0"/>
    <w:rsid w:val="00DE66DF"/>
    <w:rsid w:val="00DE7C3F"/>
    <w:rsid w:val="00DE7F59"/>
    <w:rsid w:val="00DF15B7"/>
    <w:rsid w:val="00DF23F9"/>
    <w:rsid w:val="00DF35AD"/>
    <w:rsid w:val="00DF47C9"/>
    <w:rsid w:val="00DF4E94"/>
    <w:rsid w:val="00DF5DE0"/>
    <w:rsid w:val="00E0174F"/>
    <w:rsid w:val="00E01A52"/>
    <w:rsid w:val="00E021B8"/>
    <w:rsid w:val="00E02808"/>
    <w:rsid w:val="00E02EBC"/>
    <w:rsid w:val="00E05098"/>
    <w:rsid w:val="00E05B6C"/>
    <w:rsid w:val="00E05C2B"/>
    <w:rsid w:val="00E061E6"/>
    <w:rsid w:val="00E0749E"/>
    <w:rsid w:val="00E0793B"/>
    <w:rsid w:val="00E106FE"/>
    <w:rsid w:val="00E10892"/>
    <w:rsid w:val="00E11459"/>
    <w:rsid w:val="00E12737"/>
    <w:rsid w:val="00E12DBC"/>
    <w:rsid w:val="00E13A4C"/>
    <w:rsid w:val="00E149A4"/>
    <w:rsid w:val="00E14C04"/>
    <w:rsid w:val="00E171A0"/>
    <w:rsid w:val="00E20D3B"/>
    <w:rsid w:val="00E2160B"/>
    <w:rsid w:val="00E23D4A"/>
    <w:rsid w:val="00E23E07"/>
    <w:rsid w:val="00E25C78"/>
    <w:rsid w:val="00E2668A"/>
    <w:rsid w:val="00E26849"/>
    <w:rsid w:val="00E31019"/>
    <w:rsid w:val="00E311D8"/>
    <w:rsid w:val="00E312DE"/>
    <w:rsid w:val="00E31643"/>
    <w:rsid w:val="00E345F2"/>
    <w:rsid w:val="00E34751"/>
    <w:rsid w:val="00E35905"/>
    <w:rsid w:val="00E35F1F"/>
    <w:rsid w:val="00E36160"/>
    <w:rsid w:val="00E362B8"/>
    <w:rsid w:val="00E375AF"/>
    <w:rsid w:val="00E37FB6"/>
    <w:rsid w:val="00E40420"/>
    <w:rsid w:val="00E417C1"/>
    <w:rsid w:val="00E422C5"/>
    <w:rsid w:val="00E425E9"/>
    <w:rsid w:val="00E42F36"/>
    <w:rsid w:val="00E43522"/>
    <w:rsid w:val="00E43DB8"/>
    <w:rsid w:val="00E4444E"/>
    <w:rsid w:val="00E451BE"/>
    <w:rsid w:val="00E453A5"/>
    <w:rsid w:val="00E46EBC"/>
    <w:rsid w:val="00E470E9"/>
    <w:rsid w:val="00E473D9"/>
    <w:rsid w:val="00E50B19"/>
    <w:rsid w:val="00E50F94"/>
    <w:rsid w:val="00E52844"/>
    <w:rsid w:val="00E52FC7"/>
    <w:rsid w:val="00E53382"/>
    <w:rsid w:val="00E53634"/>
    <w:rsid w:val="00E54822"/>
    <w:rsid w:val="00E557EE"/>
    <w:rsid w:val="00E566C3"/>
    <w:rsid w:val="00E568A6"/>
    <w:rsid w:val="00E56975"/>
    <w:rsid w:val="00E56A98"/>
    <w:rsid w:val="00E57BF9"/>
    <w:rsid w:val="00E603AC"/>
    <w:rsid w:val="00E6094E"/>
    <w:rsid w:val="00E62060"/>
    <w:rsid w:val="00E624BB"/>
    <w:rsid w:val="00E66056"/>
    <w:rsid w:val="00E67603"/>
    <w:rsid w:val="00E67D47"/>
    <w:rsid w:val="00E707D8"/>
    <w:rsid w:val="00E70B6A"/>
    <w:rsid w:val="00E72443"/>
    <w:rsid w:val="00E74101"/>
    <w:rsid w:val="00E74351"/>
    <w:rsid w:val="00E7484F"/>
    <w:rsid w:val="00E74D3C"/>
    <w:rsid w:val="00E76C11"/>
    <w:rsid w:val="00E76D24"/>
    <w:rsid w:val="00E7744B"/>
    <w:rsid w:val="00E80E07"/>
    <w:rsid w:val="00E814BF"/>
    <w:rsid w:val="00E817DD"/>
    <w:rsid w:val="00E8198F"/>
    <w:rsid w:val="00E81D46"/>
    <w:rsid w:val="00E82144"/>
    <w:rsid w:val="00E82DD4"/>
    <w:rsid w:val="00E83D41"/>
    <w:rsid w:val="00E85E4A"/>
    <w:rsid w:val="00E86AF9"/>
    <w:rsid w:val="00E91795"/>
    <w:rsid w:val="00E91B42"/>
    <w:rsid w:val="00E928B5"/>
    <w:rsid w:val="00E9559E"/>
    <w:rsid w:val="00E96C67"/>
    <w:rsid w:val="00E9787E"/>
    <w:rsid w:val="00E97B4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B59"/>
    <w:rsid w:val="00EB2B0D"/>
    <w:rsid w:val="00EB4F2B"/>
    <w:rsid w:val="00EB571B"/>
    <w:rsid w:val="00EB5A36"/>
    <w:rsid w:val="00EB5FA7"/>
    <w:rsid w:val="00EB65AA"/>
    <w:rsid w:val="00EB7876"/>
    <w:rsid w:val="00EB7D2D"/>
    <w:rsid w:val="00EC099B"/>
    <w:rsid w:val="00EC2A77"/>
    <w:rsid w:val="00EC2D26"/>
    <w:rsid w:val="00EC3018"/>
    <w:rsid w:val="00EC314C"/>
    <w:rsid w:val="00EC395D"/>
    <w:rsid w:val="00EC40D2"/>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757"/>
    <w:rsid w:val="00EF6CAE"/>
    <w:rsid w:val="00F00C77"/>
    <w:rsid w:val="00F01997"/>
    <w:rsid w:val="00F02BA6"/>
    <w:rsid w:val="00F0318A"/>
    <w:rsid w:val="00F035D7"/>
    <w:rsid w:val="00F03622"/>
    <w:rsid w:val="00F03EB5"/>
    <w:rsid w:val="00F04970"/>
    <w:rsid w:val="00F04A39"/>
    <w:rsid w:val="00F05535"/>
    <w:rsid w:val="00F06685"/>
    <w:rsid w:val="00F069D4"/>
    <w:rsid w:val="00F079B5"/>
    <w:rsid w:val="00F07C4B"/>
    <w:rsid w:val="00F101D7"/>
    <w:rsid w:val="00F10715"/>
    <w:rsid w:val="00F12944"/>
    <w:rsid w:val="00F14045"/>
    <w:rsid w:val="00F1542B"/>
    <w:rsid w:val="00F159D6"/>
    <w:rsid w:val="00F16A65"/>
    <w:rsid w:val="00F16E80"/>
    <w:rsid w:val="00F20820"/>
    <w:rsid w:val="00F2346C"/>
    <w:rsid w:val="00F23C05"/>
    <w:rsid w:val="00F23ED2"/>
    <w:rsid w:val="00F247FD"/>
    <w:rsid w:val="00F2537F"/>
    <w:rsid w:val="00F259B4"/>
    <w:rsid w:val="00F305A9"/>
    <w:rsid w:val="00F307A4"/>
    <w:rsid w:val="00F308A4"/>
    <w:rsid w:val="00F3221E"/>
    <w:rsid w:val="00F325AB"/>
    <w:rsid w:val="00F332D9"/>
    <w:rsid w:val="00F334D4"/>
    <w:rsid w:val="00F349B7"/>
    <w:rsid w:val="00F34E52"/>
    <w:rsid w:val="00F35388"/>
    <w:rsid w:val="00F3740F"/>
    <w:rsid w:val="00F40048"/>
    <w:rsid w:val="00F40EC6"/>
    <w:rsid w:val="00F417E5"/>
    <w:rsid w:val="00F422F1"/>
    <w:rsid w:val="00F43A09"/>
    <w:rsid w:val="00F440BB"/>
    <w:rsid w:val="00F44383"/>
    <w:rsid w:val="00F450C6"/>
    <w:rsid w:val="00F46229"/>
    <w:rsid w:val="00F462DB"/>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7496"/>
    <w:rsid w:val="00F67F6A"/>
    <w:rsid w:val="00F706B2"/>
    <w:rsid w:val="00F70A3E"/>
    <w:rsid w:val="00F70E47"/>
    <w:rsid w:val="00F71202"/>
    <w:rsid w:val="00F72315"/>
    <w:rsid w:val="00F72637"/>
    <w:rsid w:val="00F7294D"/>
    <w:rsid w:val="00F72A6F"/>
    <w:rsid w:val="00F7373D"/>
    <w:rsid w:val="00F73817"/>
    <w:rsid w:val="00F74038"/>
    <w:rsid w:val="00F74800"/>
    <w:rsid w:val="00F74E6E"/>
    <w:rsid w:val="00F75AC4"/>
    <w:rsid w:val="00F75E81"/>
    <w:rsid w:val="00F763C6"/>
    <w:rsid w:val="00F77AB6"/>
    <w:rsid w:val="00F80531"/>
    <w:rsid w:val="00F80D4B"/>
    <w:rsid w:val="00F8283F"/>
    <w:rsid w:val="00F82C92"/>
    <w:rsid w:val="00F84E5A"/>
    <w:rsid w:val="00F84F4C"/>
    <w:rsid w:val="00F86110"/>
    <w:rsid w:val="00F862B6"/>
    <w:rsid w:val="00F868AB"/>
    <w:rsid w:val="00F8736F"/>
    <w:rsid w:val="00F8748A"/>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EA9"/>
    <w:rsid w:val="00FB4886"/>
    <w:rsid w:val="00FB6272"/>
    <w:rsid w:val="00FC0848"/>
    <w:rsid w:val="00FC0AC4"/>
    <w:rsid w:val="00FC12FE"/>
    <w:rsid w:val="00FC294E"/>
    <w:rsid w:val="00FC4965"/>
    <w:rsid w:val="00FC6A65"/>
    <w:rsid w:val="00FD00A0"/>
    <w:rsid w:val="00FD18A8"/>
    <w:rsid w:val="00FD28D1"/>
    <w:rsid w:val="00FD3231"/>
    <w:rsid w:val="00FD3FB4"/>
    <w:rsid w:val="00FD41DA"/>
    <w:rsid w:val="00FD480E"/>
    <w:rsid w:val="00FD6066"/>
    <w:rsid w:val="00FD6714"/>
    <w:rsid w:val="00FD7ECE"/>
    <w:rsid w:val="00FE0667"/>
    <w:rsid w:val="00FE13EE"/>
    <w:rsid w:val="00FE1BCA"/>
    <w:rsid w:val="00FE1E43"/>
    <w:rsid w:val="00FE1F9C"/>
    <w:rsid w:val="00FE34FB"/>
    <w:rsid w:val="00FE4CC4"/>
    <w:rsid w:val="00FE51F3"/>
    <w:rsid w:val="00FE56EF"/>
    <w:rsid w:val="00FE5BB9"/>
    <w:rsid w:val="00FE7168"/>
    <w:rsid w:val="00FF0B13"/>
    <w:rsid w:val="00FF18D6"/>
    <w:rsid w:val="00FF5994"/>
    <w:rsid w:val="00FF5D7E"/>
    <w:rsid w:val="00FF5D87"/>
    <w:rsid w:val="00FF64FC"/>
    <w:rsid w:val="00FF7755"/>
    <w:rsid w:val="01480465"/>
    <w:rsid w:val="01E87214"/>
    <w:rsid w:val="09C92AF8"/>
    <w:rsid w:val="0B422EB0"/>
    <w:rsid w:val="109068B7"/>
    <w:rsid w:val="11906838"/>
    <w:rsid w:val="1C6A78A5"/>
    <w:rsid w:val="23235D79"/>
    <w:rsid w:val="24F90806"/>
    <w:rsid w:val="25DA52BB"/>
    <w:rsid w:val="25F20506"/>
    <w:rsid w:val="2B0C7D82"/>
    <w:rsid w:val="2C480C30"/>
    <w:rsid w:val="31B01B77"/>
    <w:rsid w:val="321E1FE0"/>
    <w:rsid w:val="32BD4F6E"/>
    <w:rsid w:val="32D05422"/>
    <w:rsid w:val="350E6022"/>
    <w:rsid w:val="36784344"/>
    <w:rsid w:val="3834095B"/>
    <w:rsid w:val="39797823"/>
    <w:rsid w:val="39A01AB2"/>
    <w:rsid w:val="42F550D3"/>
    <w:rsid w:val="43505F05"/>
    <w:rsid w:val="43BA4DA4"/>
    <w:rsid w:val="46091031"/>
    <w:rsid w:val="48C13F01"/>
    <w:rsid w:val="4E4C6ED8"/>
    <w:rsid w:val="4F3C78CA"/>
    <w:rsid w:val="506452EC"/>
    <w:rsid w:val="51024D01"/>
    <w:rsid w:val="5B425A62"/>
    <w:rsid w:val="5D6F4CCD"/>
    <w:rsid w:val="605477B4"/>
    <w:rsid w:val="60D34B6F"/>
    <w:rsid w:val="61B64AEC"/>
    <w:rsid w:val="623C6860"/>
    <w:rsid w:val="62CE2067"/>
    <w:rsid w:val="63A57424"/>
    <w:rsid w:val="65D9563A"/>
    <w:rsid w:val="6649236D"/>
    <w:rsid w:val="6B8C0A1A"/>
    <w:rsid w:val="6EE168B2"/>
    <w:rsid w:val="71357A85"/>
    <w:rsid w:val="74DD2E20"/>
    <w:rsid w:val="76B36933"/>
    <w:rsid w:val="7884267F"/>
    <w:rsid w:val="7AB6385A"/>
    <w:rsid w:val="7AD31002"/>
    <w:rsid w:val="7D9A7397"/>
    <w:rsid w:val="7EF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7"/>
    <w:qFormat/>
    <w:uiPriority w:val="0"/>
    <w:pPr>
      <w:keepNext/>
      <w:keepLines/>
      <w:adjustRightInd w:val="0"/>
      <w:spacing w:before="340" w:after="330" w:line="578" w:lineRule="atLeast"/>
      <w:jc w:val="center"/>
      <w:textAlignment w:val="baseline"/>
      <w:outlineLvl w:val="0"/>
    </w:pPr>
    <w:rPr>
      <w:b/>
      <w:kern w:val="44"/>
      <w:sz w:val="20"/>
    </w:rPr>
  </w:style>
  <w:style w:type="paragraph" w:styleId="5">
    <w:name w:val="heading 2"/>
    <w:basedOn w:val="1"/>
    <w:next w:val="1"/>
    <w:link w:val="5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6">
    <w:name w:val="heading 3"/>
    <w:basedOn w:val="1"/>
    <w:next w:val="1"/>
    <w:link w:val="59"/>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7">
    <w:name w:val="heading 4"/>
    <w:basedOn w:val="1"/>
    <w:next w:val="1"/>
    <w:link w:val="60"/>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8">
    <w:name w:val="heading 5"/>
    <w:basedOn w:val="1"/>
    <w:next w:val="1"/>
    <w:link w:val="61"/>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62"/>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0">
    <w:name w:val="heading 7"/>
    <w:basedOn w:val="1"/>
    <w:next w:val="1"/>
    <w:link w:val="63"/>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1">
    <w:name w:val="heading 8"/>
    <w:basedOn w:val="1"/>
    <w:next w:val="1"/>
    <w:link w:val="64"/>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2">
    <w:name w:val="heading 9"/>
    <w:basedOn w:val="1"/>
    <w:next w:val="1"/>
    <w:link w:val="65"/>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9">
    <w:name w:val="Default Paragraph Font"/>
    <w:semiHidden/>
    <w:unhideWhenUsed/>
    <w:uiPriority w:val="1"/>
  </w:style>
  <w:style w:type="table" w:default="1" w:styleId="47">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link w:val="70"/>
    <w:qFormat/>
    <w:uiPriority w:val="0"/>
    <w:pPr>
      <w:spacing w:line="360" w:lineRule="auto"/>
      <w:ind w:left="540" w:leftChars="257" w:firstLine="360" w:firstLineChars="150"/>
    </w:pPr>
    <w:rPr>
      <w:kern w:val="0"/>
      <w:sz w:val="20"/>
    </w:rPr>
  </w:style>
  <w:style w:type="paragraph" w:styleId="13">
    <w:name w:val="toc 7"/>
    <w:basedOn w:val="1"/>
    <w:next w:val="1"/>
    <w:qFormat/>
    <w:uiPriority w:val="0"/>
    <w:pPr>
      <w:ind w:left="2520"/>
    </w:pPr>
  </w:style>
  <w:style w:type="paragraph" w:styleId="14">
    <w:name w:val="index 8"/>
    <w:basedOn w:val="1"/>
    <w:next w:val="1"/>
    <w:qFormat/>
    <w:uiPriority w:val="0"/>
    <w:pPr>
      <w:ind w:left="2940"/>
    </w:pPr>
  </w:style>
  <w:style w:type="paragraph" w:styleId="15">
    <w:name w:val="Normal Indent"/>
    <w:basedOn w:val="1"/>
    <w:qFormat/>
    <w:uiPriority w:val="0"/>
    <w:pPr>
      <w:ind w:firstLine="420"/>
    </w:pPr>
  </w:style>
  <w:style w:type="paragraph" w:styleId="16">
    <w:name w:val="index 5"/>
    <w:basedOn w:val="1"/>
    <w:next w:val="1"/>
    <w:qFormat/>
    <w:uiPriority w:val="0"/>
    <w:pPr>
      <w:ind w:left="1680"/>
    </w:pPr>
  </w:style>
  <w:style w:type="paragraph" w:styleId="17">
    <w:name w:val="Document Map"/>
    <w:basedOn w:val="1"/>
    <w:link w:val="68"/>
    <w:qFormat/>
    <w:uiPriority w:val="0"/>
    <w:pPr>
      <w:shd w:val="clear" w:color="auto" w:fill="000080"/>
    </w:pPr>
    <w:rPr>
      <w:kern w:val="0"/>
      <w:sz w:val="20"/>
    </w:rPr>
  </w:style>
  <w:style w:type="paragraph" w:styleId="18">
    <w:name w:val="annotation text"/>
    <w:basedOn w:val="1"/>
    <w:link w:val="66"/>
    <w:unhideWhenUsed/>
    <w:qFormat/>
    <w:uiPriority w:val="99"/>
    <w:pPr>
      <w:jc w:val="left"/>
    </w:pPr>
  </w:style>
  <w:style w:type="paragraph" w:styleId="19">
    <w:name w:val="index 6"/>
    <w:basedOn w:val="1"/>
    <w:next w:val="1"/>
    <w:qFormat/>
    <w:uiPriority w:val="0"/>
    <w:pPr>
      <w:ind w:left="2100"/>
    </w:pPr>
  </w:style>
  <w:style w:type="paragraph" w:styleId="20">
    <w:name w:val="Body Text"/>
    <w:basedOn w:val="1"/>
    <w:link w:val="69"/>
    <w:qFormat/>
    <w:uiPriority w:val="0"/>
    <w:pPr>
      <w:spacing w:line="360" w:lineRule="auto"/>
    </w:pPr>
    <w:rPr>
      <w:kern w:val="0"/>
      <w:sz w:val="20"/>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71"/>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72"/>
    <w:qFormat/>
    <w:uiPriority w:val="0"/>
    <w:rPr>
      <w:kern w:val="0"/>
      <w:sz w:val="28"/>
    </w:rPr>
  </w:style>
  <w:style w:type="paragraph" w:styleId="28">
    <w:name w:val="Body Text Indent 2"/>
    <w:basedOn w:val="1"/>
    <w:link w:val="73"/>
    <w:qFormat/>
    <w:uiPriority w:val="0"/>
    <w:pPr>
      <w:ind w:left="840"/>
    </w:pPr>
    <w:rPr>
      <w:kern w:val="0"/>
      <w:sz w:val="20"/>
    </w:rPr>
  </w:style>
  <w:style w:type="paragraph" w:styleId="29">
    <w:name w:val="Balloon Text"/>
    <w:basedOn w:val="1"/>
    <w:link w:val="74"/>
    <w:qFormat/>
    <w:uiPriority w:val="0"/>
    <w:rPr>
      <w:kern w:val="0"/>
      <w:sz w:val="18"/>
      <w:szCs w:val="18"/>
    </w:rPr>
  </w:style>
  <w:style w:type="paragraph" w:styleId="30">
    <w:name w:val="footer"/>
    <w:basedOn w:val="1"/>
    <w:link w:val="56"/>
    <w:unhideWhenUsed/>
    <w:qFormat/>
    <w:uiPriority w:val="99"/>
    <w:pPr>
      <w:tabs>
        <w:tab w:val="center" w:pos="4153"/>
        <w:tab w:val="right" w:pos="8306"/>
      </w:tabs>
      <w:snapToGrid w:val="0"/>
      <w:jc w:val="left"/>
    </w:pPr>
    <w:rPr>
      <w:sz w:val="18"/>
      <w:szCs w:val="18"/>
    </w:rPr>
  </w:style>
  <w:style w:type="paragraph" w:styleId="31">
    <w:name w:val="header"/>
    <w:basedOn w:val="1"/>
    <w:link w:val="55"/>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qFormat/>
    <w:uiPriority w:val="0"/>
    <w:pPr>
      <w:ind w:left="1260"/>
    </w:pPr>
  </w:style>
  <w:style w:type="paragraph" w:styleId="34">
    <w:name w:val="index heading"/>
    <w:basedOn w:val="1"/>
    <w:next w:val="35"/>
    <w:qFormat/>
    <w:uiPriority w:val="0"/>
  </w:style>
  <w:style w:type="paragraph" w:styleId="35">
    <w:name w:val="index 1"/>
    <w:basedOn w:val="1"/>
    <w:next w:val="1"/>
    <w:unhideWhenUsed/>
    <w:qFormat/>
    <w:uiPriority w:val="0"/>
  </w:style>
  <w:style w:type="paragraph" w:styleId="36">
    <w:name w:val="toc 6"/>
    <w:basedOn w:val="1"/>
    <w:next w:val="1"/>
    <w:qFormat/>
    <w:uiPriority w:val="0"/>
    <w:pPr>
      <w:ind w:left="2100"/>
    </w:pPr>
  </w:style>
  <w:style w:type="paragraph" w:styleId="37">
    <w:name w:val="Body Text Indent 3"/>
    <w:basedOn w:val="1"/>
    <w:link w:val="75"/>
    <w:qFormat/>
    <w:uiPriority w:val="0"/>
    <w:pPr>
      <w:spacing w:line="400" w:lineRule="atLeast"/>
      <w:ind w:left="360" w:firstLine="410" w:firstLineChars="171"/>
    </w:pPr>
    <w:rPr>
      <w:kern w:val="0"/>
      <w:sz w:val="20"/>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oc 2"/>
    <w:basedOn w:val="1"/>
    <w:next w:val="1"/>
    <w:qFormat/>
    <w:uiPriority w:val="39"/>
    <w:pPr>
      <w:snapToGrid w:val="0"/>
      <w:spacing w:line="480" w:lineRule="exact"/>
      <w:ind w:firstLine="300" w:firstLineChars="300"/>
    </w:pPr>
    <w:rPr>
      <w:sz w:val="24"/>
      <w:szCs w:val="24"/>
    </w:rPr>
  </w:style>
  <w:style w:type="paragraph" w:styleId="41">
    <w:name w:val="toc 9"/>
    <w:basedOn w:val="1"/>
    <w:next w:val="1"/>
    <w:qFormat/>
    <w:uiPriority w:val="0"/>
    <w:pPr>
      <w:ind w:left="3360"/>
    </w:pPr>
  </w:style>
  <w:style w:type="paragraph" w:styleId="42">
    <w:name w:val="HTML Preformatted"/>
    <w:basedOn w:val="1"/>
    <w:link w:val="7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qFormat/>
    <w:uiPriority w:val="0"/>
    <w:pPr>
      <w:ind w:left="420"/>
    </w:pPr>
  </w:style>
  <w:style w:type="paragraph" w:styleId="45">
    <w:name w:val="Title"/>
    <w:basedOn w:val="1"/>
    <w:link w:val="77"/>
    <w:qFormat/>
    <w:uiPriority w:val="0"/>
    <w:pPr>
      <w:spacing w:before="240" w:after="60" w:line="540" w:lineRule="exact"/>
      <w:outlineLvl w:val="0"/>
    </w:pPr>
    <w:rPr>
      <w:rFonts w:eastAsia="仿宋_GB2312" w:cs="Cambria"/>
      <w:b/>
      <w:bCs/>
      <w:kern w:val="0"/>
      <w:sz w:val="32"/>
      <w:szCs w:val="32"/>
    </w:rPr>
  </w:style>
  <w:style w:type="paragraph" w:styleId="46">
    <w:name w:val="annotation subject"/>
    <w:basedOn w:val="18"/>
    <w:next w:val="18"/>
    <w:link w:val="67"/>
    <w:qFormat/>
    <w:uiPriority w:val="0"/>
    <w:rPr>
      <w:b/>
      <w:bCs/>
      <w:kern w:val="0"/>
      <w:sz w:val="20"/>
    </w:rPr>
  </w:style>
  <w:style w:type="table" w:styleId="48">
    <w:name w:val="Table Grid"/>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page number"/>
    <w:qFormat/>
    <w:uiPriority w:val="0"/>
    <w:rPr>
      <w:rFonts w:ascii="Times New Roman" w:hAnsi="Times New Roman" w:eastAsia="宋体" w:cs="Times New Roman"/>
      <w:lang w:val="en-US" w:eastAsia="zh-CN" w:bidi="ar-SA"/>
    </w:rPr>
  </w:style>
  <w:style w:type="character" w:styleId="51">
    <w:name w:val="FollowedHyperlink"/>
    <w:qFormat/>
    <w:uiPriority w:val="0"/>
    <w:rPr>
      <w:rFonts w:ascii="Times New Roman" w:hAnsi="Times New Roman" w:eastAsia="宋体" w:cs="Times New Roman"/>
      <w:color w:val="800080"/>
      <w:u w:val="single"/>
      <w:lang w:val="en-US" w:eastAsia="zh-CN" w:bidi="ar-SA"/>
    </w:rPr>
  </w:style>
  <w:style w:type="character" w:styleId="52">
    <w:name w:val="HTML Typewriter"/>
    <w:qFormat/>
    <w:uiPriority w:val="0"/>
    <w:rPr>
      <w:rFonts w:ascii="Courier New" w:hAnsi="Courier New" w:eastAsia="宋体" w:cs="Courier New"/>
      <w:sz w:val="20"/>
      <w:szCs w:val="20"/>
      <w:lang w:val="en-US" w:eastAsia="zh-CN" w:bidi="ar-SA"/>
    </w:rPr>
  </w:style>
  <w:style w:type="character" w:styleId="53">
    <w:name w:val="Hyperlink"/>
    <w:qFormat/>
    <w:uiPriority w:val="99"/>
    <w:rPr>
      <w:rFonts w:ascii="Times New Roman" w:hAnsi="Times New Roman" w:eastAsia="宋体" w:cs="Times New Roman"/>
      <w:color w:val="0000FF"/>
      <w:u w:val="single"/>
      <w:lang w:val="en-US" w:eastAsia="zh-CN" w:bidi="ar-SA"/>
    </w:rPr>
  </w:style>
  <w:style w:type="character" w:styleId="54">
    <w:name w:val="annotation reference"/>
    <w:qFormat/>
    <w:uiPriority w:val="0"/>
    <w:rPr>
      <w:rFonts w:ascii="Times New Roman" w:hAnsi="Times New Roman" w:eastAsia="宋体" w:cs="Times New Roman"/>
      <w:sz w:val="21"/>
      <w:szCs w:val="21"/>
      <w:lang w:val="en-US" w:eastAsia="zh-CN" w:bidi="ar-SA"/>
    </w:rPr>
  </w:style>
  <w:style w:type="character" w:customStyle="1" w:styleId="55">
    <w:name w:val="页眉 字符"/>
    <w:basedOn w:val="49"/>
    <w:link w:val="31"/>
    <w:qFormat/>
    <w:uiPriority w:val="99"/>
    <w:rPr>
      <w:sz w:val="18"/>
      <w:szCs w:val="18"/>
    </w:rPr>
  </w:style>
  <w:style w:type="character" w:customStyle="1" w:styleId="56">
    <w:name w:val="页脚 字符"/>
    <w:basedOn w:val="49"/>
    <w:link w:val="30"/>
    <w:qFormat/>
    <w:uiPriority w:val="99"/>
    <w:rPr>
      <w:sz w:val="18"/>
      <w:szCs w:val="18"/>
    </w:rPr>
  </w:style>
  <w:style w:type="character" w:customStyle="1" w:styleId="57">
    <w:name w:val="标题 1 字符"/>
    <w:basedOn w:val="49"/>
    <w:link w:val="4"/>
    <w:qFormat/>
    <w:uiPriority w:val="0"/>
    <w:rPr>
      <w:rFonts w:ascii="Times New Roman" w:hAnsi="Times New Roman" w:eastAsia="宋体" w:cs="Times New Roman"/>
      <w:b/>
      <w:kern w:val="44"/>
      <w:sz w:val="20"/>
      <w:szCs w:val="20"/>
    </w:rPr>
  </w:style>
  <w:style w:type="character" w:customStyle="1" w:styleId="58">
    <w:name w:val="标题 2 字符"/>
    <w:basedOn w:val="49"/>
    <w:link w:val="5"/>
    <w:qFormat/>
    <w:uiPriority w:val="0"/>
    <w:rPr>
      <w:rFonts w:ascii="黑体" w:hAnsi="Arial" w:eastAsia="黑体" w:cs="Times New Roman"/>
      <w:kern w:val="0"/>
      <w:sz w:val="28"/>
      <w:szCs w:val="20"/>
    </w:rPr>
  </w:style>
  <w:style w:type="character" w:customStyle="1" w:styleId="59">
    <w:name w:val="标题 3 字符"/>
    <w:basedOn w:val="49"/>
    <w:link w:val="6"/>
    <w:qFormat/>
    <w:uiPriority w:val="0"/>
    <w:rPr>
      <w:rFonts w:ascii="Times New Roman" w:hAnsi="Times New Roman" w:eastAsia="宋体" w:cs="Times New Roman"/>
      <w:b/>
      <w:kern w:val="0"/>
      <w:sz w:val="32"/>
      <w:szCs w:val="20"/>
    </w:rPr>
  </w:style>
  <w:style w:type="character" w:customStyle="1" w:styleId="60">
    <w:name w:val="标题 4 字符"/>
    <w:basedOn w:val="49"/>
    <w:link w:val="7"/>
    <w:qFormat/>
    <w:uiPriority w:val="0"/>
    <w:rPr>
      <w:rFonts w:ascii="Arial" w:hAnsi="Arial" w:eastAsia="黑体" w:cs="Times New Roman"/>
      <w:b/>
      <w:kern w:val="0"/>
      <w:sz w:val="28"/>
      <w:szCs w:val="20"/>
    </w:rPr>
  </w:style>
  <w:style w:type="character" w:customStyle="1" w:styleId="61">
    <w:name w:val="标题 5 字符"/>
    <w:basedOn w:val="49"/>
    <w:link w:val="8"/>
    <w:qFormat/>
    <w:uiPriority w:val="0"/>
    <w:rPr>
      <w:rFonts w:ascii="Times New Roman" w:hAnsi="Times New Roman" w:eastAsia="宋体" w:cs="Times New Roman"/>
      <w:b/>
      <w:kern w:val="0"/>
      <w:sz w:val="28"/>
      <w:szCs w:val="20"/>
    </w:rPr>
  </w:style>
  <w:style w:type="character" w:customStyle="1" w:styleId="62">
    <w:name w:val="标题 6 字符"/>
    <w:basedOn w:val="49"/>
    <w:link w:val="9"/>
    <w:qFormat/>
    <w:uiPriority w:val="0"/>
    <w:rPr>
      <w:rFonts w:ascii="Arial" w:hAnsi="Arial" w:eastAsia="黑体" w:cs="Times New Roman"/>
      <w:b/>
      <w:kern w:val="0"/>
      <w:sz w:val="20"/>
      <w:szCs w:val="20"/>
    </w:rPr>
  </w:style>
  <w:style w:type="character" w:customStyle="1" w:styleId="63">
    <w:name w:val="标题 7 字符"/>
    <w:basedOn w:val="49"/>
    <w:link w:val="10"/>
    <w:qFormat/>
    <w:uiPriority w:val="0"/>
    <w:rPr>
      <w:rFonts w:ascii="Times New Roman" w:hAnsi="Times New Roman" w:eastAsia="宋体" w:cs="Times New Roman"/>
      <w:b/>
      <w:kern w:val="0"/>
      <w:sz w:val="20"/>
      <w:szCs w:val="20"/>
    </w:rPr>
  </w:style>
  <w:style w:type="character" w:customStyle="1" w:styleId="64">
    <w:name w:val="标题 8 字符"/>
    <w:basedOn w:val="49"/>
    <w:link w:val="11"/>
    <w:qFormat/>
    <w:uiPriority w:val="0"/>
    <w:rPr>
      <w:rFonts w:ascii="Arial" w:hAnsi="Arial" w:eastAsia="黑体" w:cs="Times New Roman"/>
      <w:kern w:val="0"/>
      <w:sz w:val="20"/>
      <w:szCs w:val="20"/>
    </w:rPr>
  </w:style>
  <w:style w:type="character" w:customStyle="1" w:styleId="65">
    <w:name w:val="标题 9 字符"/>
    <w:basedOn w:val="49"/>
    <w:link w:val="12"/>
    <w:qFormat/>
    <w:uiPriority w:val="0"/>
    <w:rPr>
      <w:rFonts w:ascii="Arial" w:hAnsi="Arial" w:eastAsia="黑体" w:cs="Times New Roman"/>
      <w:kern w:val="0"/>
      <w:szCs w:val="20"/>
    </w:rPr>
  </w:style>
  <w:style w:type="character" w:customStyle="1" w:styleId="66">
    <w:name w:val="批注文字 字符"/>
    <w:basedOn w:val="49"/>
    <w:link w:val="18"/>
    <w:qFormat/>
    <w:uiPriority w:val="99"/>
    <w:rPr>
      <w:rFonts w:ascii="Times New Roman" w:hAnsi="Times New Roman" w:eastAsia="宋体" w:cs="Times New Roman"/>
      <w:szCs w:val="20"/>
    </w:rPr>
  </w:style>
  <w:style w:type="character" w:customStyle="1" w:styleId="67">
    <w:name w:val="批注主题 字符"/>
    <w:basedOn w:val="66"/>
    <w:link w:val="46"/>
    <w:qFormat/>
    <w:uiPriority w:val="0"/>
    <w:rPr>
      <w:rFonts w:ascii="Times New Roman" w:hAnsi="Times New Roman" w:eastAsia="宋体" w:cs="Times New Roman"/>
      <w:b/>
      <w:bCs/>
      <w:kern w:val="0"/>
      <w:sz w:val="20"/>
      <w:szCs w:val="20"/>
    </w:rPr>
  </w:style>
  <w:style w:type="character" w:customStyle="1" w:styleId="68">
    <w:name w:val="文档结构图 字符"/>
    <w:basedOn w:val="49"/>
    <w:link w:val="17"/>
    <w:qFormat/>
    <w:uiPriority w:val="0"/>
    <w:rPr>
      <w:rFonts w:ascii="Times New Roman" w:hAnsi="Times New Roman" w:eastAsia="宋体" w:cs="Times New Roman"/>
      <w:kern w:val="0"/>
      <w:sz w:val="20"/>
      <w:szCs w:val="20"/>
      <w:shd w:val="clear" w:color="auto" w:fill="000080"/>
    </w:rPr>
  </w:style>
  <w:style w:type="character" w:customStyle="1" w:styleId="69">
    <w:name w:val="正文文本 字符"/>
    <w:basedOn w:val="49"/>
    <w:link w:val="20"/>
    <w:qFormat/>
    <w:uiPriority w:val="0"/>
    <w:rPr>
      <w:rFonts w:ascii="Times New Roman" w:hAnsi="Times New Roman" w:eastAsia="宋体" w:cs="Times New Roman"/>
      <w:kern w:val="0"/>
      <w:sz w:val="20"/>
      <w:szCs w:val="20"/>
    </w:rPr>
  </w:style>
  <w:style w:type="character" w:customStyle="1" w:styleId="70">
    <w:name w:val="正文文本缩进 字符"/>
    <w:basedOn w:val="49"/>
    <w:link w:val="3"/>
    <w:qFormat/>
    <w:uiPriority w:val="0"/>
    <w:rPr>
      <w:rFonts w:ascii="Times New Roman" w:hAnsi="Times New Roman" w:eastAsia="宋体" w:cs="Times New Roman"/>
      <w:kern w:val="0"/>
      <w:sz w:val="20"/>
      <w:szCs w:val="20"/>
    </w:rPr>
  </w:style>
  <w:style w:type="character" w:customStyle="1" w:styleId="71">
    <w:name w:val="纯文本 字符"/>
    <w:basedOn w:val="49"/>
    <w:link w:val="24"/>
    <w:qFormat/>
    <w:uiPriority w:val="0"/>
    <w:rPr>
      <w:rFonts w:ascii="宋体" w:hAnsi="Courier New" w:eastAsia="宋体" w:cs="Times New Roman"/>
      <w:kern w:val="0"/>
      <w:sz w:val="20"/>
      <w:szCs w:val="20"/>
    </w:rPr>
  </w:style>
  <w:style w:type="character" w:customStyle="1" w:styleId="72">
    <w:name w:val="日期 字符"/>
    <w:basedOn w:val="49"/>
    <w:link w:val="27"/>
    <w:qFormat/>
    <w:uiPriority w:val="0"/>
    <w:rPr>
      <w:rFonts w:ascii="Times New Roman" w:hAnsi="Times New Roman" w:eastAsia="宋体" w:cs="Times New Roman"/>
      <w:kern w:val="0"/>
      <w:sz w:val="28"/>
      <w:szCs w:val="20"/>
    </w:rPr>
  </w:style>
  <w:style w:type="character" w:customStyle="1" w:styleId="73">
    <w:name w:val="正文文本缩进 2 字符"/>
    <w:basedOn w:val="49"/>
    <w:link w:val="28"/>
    <w:qFormat/>
    <w:uiPriority w:val="0"/>
    <w:rPr>
      <w:rFonts w:ascii="Times New Roman" w:hAnsi="Times New Roman" w:eastAsia="宋体" w:cs="Times New Roman"/>
      <w:kern w:val="0"/>
      <w:sz w:val="20"/>
      <w:szCs w:val="20"/>
    </w:rPr>
  </w:style>
  <w:style w:type="character" w:customStyle="1" w:styleId="74">
    <w:name w:val="批注框文本 字符"/>
    <w:basedOn w:val="49"/>
    <w:link w:val="29"/>
    <w:qFormat/>
    <w:uiPriority w:val="0"/>
    <w:rPr>
      <w:rFonts w:ascii="Times New Roman" w:hAnsi="Times New Roman" w:eastAsia="宋体" w:cs="Times New Roman"/>
      <w:kern w:val="0"/>
      <w:sz w:val="18"/>
      <w:szCs w:val="18"/>
    </w:rPr>
  </w:style>
  <w:style w:type="character" w:customStyle="1" w:styleId="75">
    <w:name w:val="正文文本缩进 3 字符"/>
    <w:basedOn w:val="49"/>
    <w:link w:val="37"/>
    <w:qFormat/>
    <w:uiPriority w:val="0"/>
    <w:rPr>
      <w:rFonts w:ascii="Times New Roman" w:hAnsi="Times New Roman" w:eastAsia="宋体" w:cs="Times New Roman"/>
      <w:kern w:val="0"/>
      <w:sz w:val="20"/>
      <w:szCs w:val="20"/>
    </w:rPr>
  </w:style>
  <w:style w:type="character" w:customStyle="1" w:styleId="76">
    <w:name w:val="HTML 预设格式 字符"/>
    <w:basedOn w:val="49"/>
    <w:link w:val="42"/>
    <w:qFormat/>
    <w:uiPriority w:val="99"/>
    <w:rPr>
      <w:rFonts w:ascii="宋体" w:hAnsi="宋体" w:eastAsia="宋体" w:cs="Times New Roman"/>
      <w:kern w:val="0"/>
      <w:sz w:val="20"/>
      <w:szCs w:val="20"/>
    </w:rPr>
  </w:style>
  <w:style w:type="character" w:customStyle="1" w:styleId="77">
    <w:name w:val="标题 字符"/>
    <w:basedOn w:val="49"/>
    <w:link w:val="45"/>
    <w:qFormat/>
    <w:uiPriority w:val="0"/>
    <w:rPr>
      <w:rFonts w:ascii="Times New Roman" w:hAnsi="Times New Roman" w:eastAsia="仿宋_GB2312" w:cs="Cambria"/>
      <w:b/>
      <w:bCs/>
      <w:kern w:val="0"/>
      <w:sz w:val="32"/>
      <w:szCs w:val="32"/>
    </w:rPr>
  </w:style>
  <w:style w:type="paragraph" w:customStyle="1" w:styleId="78">
    <w:name w:val="列出段落1"/>
    <w:basedOn w:val="1"/>
    <w:qFormat/>
    <w:uiPriority w:val="34"/>
    <w:pPr>
      <w:ind w:firstLine="420" w:firstLineChars="200"/>
    </w:pPr>
  </w:style>
  <w:style w:type="paragraph" w:customStyle="1" w:styleId="79">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1">
    <w:name w:val="合同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3">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4">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6">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7">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8">
    <w:name w:val="资料表"/>
    <w:basedOn w:val="85"/>
    <w:qFormat/>
    <w:uiPriority w:val="0"/>
    <w:rPr>
      <w:rFonts w:ascii="Times New Roman"/>
    </w:rPr>
  </w:style>
  <w:style w:type="paragraph" w:customStyle="1" w:styleId="89">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0">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1">
    <w:name w:val="正文文本缩进1"/>
    <w:basedOn w:val="1"/>
    <w:qFormat/>
    <w:uiPriority w:val="0"/>
    <w:pPr>
      <w:spacing w:line="360" w:lineRule="auto"/>
      <w:ind w:left="540" w:leftChars="257" w:firstLine="360" w:firstLineChars="150"/>
    </w:pPr>
    <w:rPr>
      <w:sz w:val="24"/>
    </w:rPr>
  </w:style>
  <w:style w:type="paragraph" w:customStyle="1" w:styleId="92">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3">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4">
    <w:name w:val="样式1"/>
    <w:basedOn w:val="1"/>
    <w:qFormat/>
    <w:uiPriority w:val="0"/>
    <w:pPr>
      <w:adjustRightInd w:val="0"/>
      <w:spacing w:before="120" w:after="120" w:line="120" w:lineRule="exact"/>
    </w:pPr>
    <w:rPr>
      <w:color w:val="FF00FF"/>
      <w:kern w:val="0"/>
      <w:sz w:val="24"/>
    </w:rPr>
  </w:style>
  <w:style w:type="paragraph" w:customStyle="1" w:styleId="95">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8">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9">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0">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1">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2">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3">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5">
    <w:name w:val="_Style 80"/>
    <w:semiHidden/>
    <w:qFormat/>
    <w:uiPriority w:val="99"/>
    <w:rPr>
      <w:rFonts w:ascii="Times New Roman" w:hAnsi="Times New Roman" w:eastAsia="宋体" w:cs="Times New Roman"/>
      <w:kern w:val="2"/>
      <w:sz w:val="21"/>
      <w:lang w:val="en-US" w:eastAsia="zh-CN" w:bidi="ar-SA"/>
    </w:rPr>
  </w:style>
  <w:style w:type="paragraph" w:customStyle="1" w:styleId="106">
    <w:name w:val="字元 字元"/>
    <w:basedOn w:val="1"/>
    <w:qFormat/>
    <w:uiPriority w:val="0"/>
    <w:rPr>
      <w:rFonts w:ascii="仿宋_GB2312" w:eastAsia="仿宋_GB2312"/>
      <w:b/>
      <w:sz w:val="32"/>
      <w:szCs w:val="32"/>
    </w:rPr>
  </w:style>
  <w:style w:type="paragraph" w:customStyle="1" w:styleId="107">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8">
    <w:name w:val="投标书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09">
    <w:name w:val="默认段落字体 Para Char Char Char Char"/>
    <w:basedOn w:val="1"/>
    <w:qFormat/>
    <w:uiPriority w:val="0"/>
    <w:rPr>
      <w:szCs w:val="21"/>
    </w:rPr>
  </w:style>
  <w:style w:type="paragraph" w:customStyle="1" w:styleId="110">
    <w:name w:val="无间距1"/>
    <w:link w:val="144"/>
    <w:qFormat/>
    <w:uiPriority w:val="0"/>
    <w:rPr>
      <w:rFonts w:ascii="Times New Roman" w:hAnsi="Times New Roman" w:eastAsia="宋体" w:cs="Times New Roman"/>
      <w:kern w:val="2"/>
      <w:sz w:val="22"/>
      <w:szCs w:val="22"/>
      <w:lang w:val="en-US" w:eastAsia="zh-CN" w:bidi="ar-SA"/>
    </w:rPr>
  </w:style>
  <w:style w:type="paragraph" w:customStyle="1" w:styleId="111">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3">
    <w:name w:val="font7"/>
    <w:basedOn w:val="1"/>
    <w:qFormat/>
    <w:uiPriority w:val="0"/>
    <w:pPr>
      <w:widowControl/>
      <w:spacing w:before="100" w:beforeAutospacing="1" w:after="100" w:afterAutospacing="1"/>
      <w:jc w:val="left"/>
    </w:pPr>
    <w:rPr>
      <w:b/>
      <w:bCs/>
      <w:kern w:val="0"/>
      <w:sz w:val="32"/>
      <w:szCs w:val="32"/>
    </w:rPr>
  </w:style>
  <w:style w:type="paragraph" w:styleId="114">
    <w:name w:val="List Paragraph"/>
    <w:basedOn w:val="1"/>
    <w:link w:val="199"/>
    <w:qFormat/>
    <w:uiPriority w:val="34"/>
    <w:pPr>
      <w:ind w:firstLine="420" w:firstLineChars="200"/>
    </w:pPr>
  </w:style>
  <w:style w:type="paragraph" w:customStyle="1" w:styleId="115">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6">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8">
    <w:name w:val="修订版本号1"/>
    <w:qFormat/>
    <w:uiPriority w:val="0"/>
    <w:rPr>
      <w:rFonts w:ascii="Times New Roman" w:hAnsi="Times New Roman" w:eastAsia="宋体" w:cs="Times New Roman"/>
      <w:kern w:val="2"/>
      <w:sz w:val="21"/>
      <w:lang w:val="en-US" w:eastAsia="zh-CN" w:bidi="ar-SA"/>
    </w:rPr>
  </w:style>
  <w:style w:type="paragraph" w:customStyle="1" w:styleId="119">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0">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1">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2">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3">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4">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6">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7">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8">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9">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1">
    <w:name w:val="默认段落字体 Para Char Char Char Char Char Char Char"/>
    <w:basedOn w:val="1"/>
    <w:qFormat/>
    <w:uiPriority w:val="0"/>
    <w:rPr>
      <w:rFonts w:ascii="Tahoma" w:hAnsi="Tahoma"/>
      <w:sz w:val="24"/>
    </w:rPr>
  </w:style>
  <w:style w:type="paragraph" w:customStyle="1" w:styleId="132">
    <w:name w:val="Char Char1 Char Char Char Char Char Char Char Char Char Char Char Char"/>
    <w:basedOn w:val="1"/>
    <w:qFormat/>
    <w:uiPriority w:val="0"/>
    <w:rPr>
      <w:szCs w:val="24"/>
    </w:rPr>
  </w:style>
  <w:style w:type="paragraph" w:customStyle="1" w:styleId="133">
    <w:name w:val="Char Char Char Char Char Char Char Char Char Char"/>
    <w:basedOn w:val="1"/>
    <w:qFormat/>
    <w:uiPriority w:val="0"/>
    <w:rPr>
      <w:rFonts w:ascii="Tahoma" w:hAnsi="Tahoma" w:cs="Tahoma"/>
      <w:sz w:val="24"/>
      <w:szCs w:val="24"/>
    </w:rPr>
  </w:style>
  <w:style w:type="paragraph" w:customStyle="1" w:styleId="134">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6">
    <w:name w:val="正文（首行缩进两字）"/>
    <w:basedOn w:val="1"/>
    <w:qFormat/>
    <w:uiPriority w:val="0"/>
  </w:style>
  <w:style w:type="paragraph" w:customStyle="1" w:styleId="13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0">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1">
    <w:name w:val="列出段落2"/>
    <w:basedOn w:val="1"/>
    <w:qFormat/>
    <w:uiPriority w:val="0"/>
    <w:pPr>
      <w:widowControl/>
      <w:ind w:firstLine="420" w:firstLineChars="200"/>
      <w:jc w:val="left"/>
    </w:pPr>
    <w:rPr>
      <w:kern w:val="0"/>
      <w:sz w:val="24"/>
    </w:rPr>
  </w:style>
  <w:style w:type="character" w:customStyle="1" w:styleId="142">
    <w:name w:val="页眉 Char1"/>
    <w:qFormat/>
    <w:uiPriority w:val="0"/>
    <w:rPr>
      <w:rFonts w:ascii="Times New Roman" w:hAnsi="Times New Roman" w:eastAsia="宋体" w:cs="Times New Roman"/>
      <w:kern w:val="2"/>
      <w:sz w:val="18"/>
      <w:szCs w:val="18"/>
      <w:lang w:val="en-US" w:eastAsia="zh-CN" w:bidi="ar-SA"/>
    </w:rPr>
  </w:style>
  <w:style w:type="character" w:customStyle="1" w:styleId="143">
    <w:name w:val="正文文本字符1"/>
    <w:semiHidden/>
    <w:qFormat/>
    <w:uiPriority w:val="99"/>
    <w:rPr>
      <w:rFonts w:ascii="Times New Roman" w:hAnsi="Times New Roman" w:eastAsia="宋体" w:cs="Times New Roman"/>
      <w:sz w:val="21"/>
      <w:szCs w:val="20"/>
    </w:rPr>
  </w:style>
  <w:style w:type="character" w:customStyle="1" w:styleId="144">
    <w:name w:val="无间隔 Char"/>
    <w:link w:val="110"/>
    <w:qFormat/>
    <w:uiPriority w:val="0"/>
    <w:rPr>
      <w:rFonts w:ascii="Times New Roman" w:hAnsi="Times New Roman" w:eastAsia="宋体" w:cs="Times New Roman"/>
      <w:sz w:val="22"/>
    </w:rPr>
  </w:style>
  <w:style w:type="character" w:customStyle="1" w:styleId="145">
    <w:name w:val="正文文本缩进 3字符1"/>
    <w:semiHidden/>
    <w:qFormat/>
    <w:uiPriority w:val="99"/>
    <w:rPr>
      <w:rFonts w:ascii="Times New Roman" w:hAnsi="Times New Roman" w:eastAsia="宋体" w:cs="Times New Roman"/>
      <w:sz w:val="16"/>
      <w:szCs w:val="16"/>
    </w:rPr>
  </w:style>
  <w:style w:type="character" w:customStyle="1" w:styleId="146">
    <w:name w:val="日期 Char1"/>
    <w:qFormat/>
    <w:uiPriority w:val="0"/>
    <w:rPr>
      <w:rFonts w:ascii="Times New Roman" w:hAnsi="Times New Roman" w:eastAsia="宋体" w:cs="Times New Roman"/>
      <w:kern w:val="2"/>
      <w:sz w:val="21"/>
      <w:lang w:val="en-US" w:eastAsia="zh-CN" w:bidi="ar-SA"/>
    </w:rPr>
  </w:style>
  <w:style w:type="character" w:customStyle="1" w:styleId="147">
    <w:name w:val="正文文本 Char1"/>
    <w:qFormat/>
    <w:uiPriority w:val="0"/>
    <w:rPr>
      <w:rFonts w:ascii="Times New Roman" w:hAnsi="Times New Roman" w:eastAsia="宋体" w:cs="Times New Roman"/>
      <w:kern w:val="2"/>
      <w:sz w:val="21"/>
      <w:lang w:val="en-US" w:eastAsia="zh-CN" w:bidi="ar-SA"/>
    </w:rPr>
  </w:style>
  <w:style w:type="character" w:customStyle="1" w:styleId="148">
    <w:name w:val="页脚 Char1"/>
    <w:qFormat/>
    <w:uiPriority w:val="0"/>
    <w:rPr>
      <w:rFonts w:ascii="Times New Roman" w:hAnsi="Times New Roman" w:eastAsia="宋体" w:cs="Times New Roman"/>
      <w:kern w:val="2"/>
      <w:sz w:val="18"/>
      <w:szCs w:val="18"/>
      <w:lang w:val="en-US" w:eastAsia="zh-CN" w:bidi="ar-SA"/>
    </w:rPr>
  </w:style>
  <w:style w:type="character" w:customStyle="1" w:styleId="149">
    <w:name w:val="apple-converted-space"/>
    <w:qFormat/>
    <w:uiPriority w:val="0"/>
    <w:rPr>
      <w:rFonts w:ascii="Times New Roman" w:hAnsi="Times New Roman" w:eastAsia="宋体" w:cs="Times New Roman"/>
      <w:lang w:val="en-US" w:eastAsia="zh-CN" w:bidi="ar-SA"/>
    </w:rPr>
  </w:style>
  <w:style w:type="character" w:customStyle="1" w:styleId="150">
    <w:name w:val="批注主题字符1"/>
    <w:semiHidden/>
    <w:qFormat/>
    <w:uiPriority w:val="99"/>
    <w:rPr>
      <w:rFonts w:ascii="Times New Roman" w:hAnsi="Times New Roman" w:eastAsia="宋体" w:cs="Times New Roman"/>
      <w:b/>
      <w:bCs/>
      <w:sz w:val="21"/>
      <w:szCs w:val="20"/>
    </w:rPr>
  </w:style>
  <w:style w:type="character" w:customStyle="1" w:styleId="151">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2">
    <w:name w:val="页脚字符1"/>
    <w:semiHidden/>
    <w:qFormat/>
    <w:uiPriority w:val="99"/>
    <w:rPr>
      <w:rFonts w:ascii="Times New Roman" w:hAnsi="Times New Roman" w:eastAsia="宋体" w:cs="Times New Roman"/>
      <w:sz w:val="18"/>
      <w:szCs w:val="18"/>
    </w:rPr>
  </w:style>
  <w:style w:type="character" w:customStyle="1" w:styleId="153">
    <w:name w:val="页码1"/>
    <w:qFormat/>
    <w:uiPriority w:val="0"/>
    <w:rPr>
      <w:rFonts w:ascii="Times New Roman" w:hAnsi="Times New Roman" w:eastAsia="宋体" w:cs="Times New Roman"/>
      <w:lang w:val="en-US" w:eastAsia="zh-CN" w:bidi="ar-SA"/>
    </w:rPr>
  </w:style>
  <w:style w:type="character" w:customStyle="1" w:styleId="154">
    <w:name w:val="文档结构图 Char1"/>
    <w:qFormat/>
    <w:uiPriority w:val="0"/>
    <w:rPr>
      <w:rFonts w:ascii="宋体" w:hAnsi="Times New Roman" w:eastAsia="宋体" w:cs="Times New Roman"/>
      <w:kern w:val="2"/>
      <w:sz w:val="18"/>
      <w:szCs w:val="18"/>
      <w:lang w:val="en-US" w:eastAsia="zh-CN" w:bidi="ar-SA"/>
    </w:rPr>
  </w:style>
  <w:style w:type="character" w:customStyle="1" w:styleId="155">
    <w:name w:val="正文文本缩进 2字符1"/>
    <w:semiHidden/>
    <w:qFormat/>
    <w:uiPriority w:val="99"/>
    <w:rPr>
      <w:rFonts w:ascii="Times New Roman" w:hAnsi="Times New Roman" w:eastAsia="宋体" w:cs="Times New Roman"/>
      <w:sz w:val="21"/>
      <w:szCs w:val="20"/>
    </w:rPr>
  </w:style>
  <w:style w:type="character" w:customStyle="1" w:styleId="156">
    <w:name w:val="纯文本字符1"/>
    <w:semiHidden/>
    <w:qFormat/>
    <w:uiPriority w:val="99"/>
    <w:rPr>
      <w:rFonts w:ascii="宋体" w:hAnsi="Courier" w:eastAsia="宋体" w:cs="Times New Roman"/>
    </w:rPr>
  </w:style>
  <w:style w:type="character" w:customStyle="1" w:styleId="157">
    <w:name w:val="批注文字 Char1"/>
    <w:qFormat/>
    <w:uiPriority w:val="0"/>
    <w:rPr>
      <w:rFonts w:ascii="Times New Roman" w:hAnsi="Times New Roman" w:eastAsia="宋体" w:cs="Times New Roman"/>
      <w:sz w:val="21"/>
      <w:szCs w:val="20"/>
    </w:rPr>
  </w:style>
  <w:style w:type="character" w:customStyle="1" w:styleId="158">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9">
    <w:name w:val="批注框文本字符1"/>
    <w:semiHidden/>
    <w:qFormat/>
    <w:uiPriority w:val="99"/>
    <w:rPr>
      <w:rFonts w:ascii="Heiti SC Light" w:hAnsi="Times New Roman" w:eastAsia="Heiti SC Light" w:cs="Times New Roman"/>
      <w:sz w:val="18"/>
      <w:szCs w:val="18"/>
    </w:rPr>
  </w:style>
  <w:style w:type="character" w:customStyle="1" w:styleId="160">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1">
    <w:name w:val="页眉字符1"/>
    <w:semiHidden/>
    <w:qFormat/>
    <w:uiPriority w:val="99"/>
    <w:rPr>
      <w:rFonts w:ascii="Times New Roman" w:hAnsi="Times New Roman" w:eastAsia="宋体" w:cs="Times New Roman"/>
      <w:sz w:val="18"/>
      <w:szCs w:val="18"/>
    </w:rPr>
  </w:style>
  <w:style w:type="character" w:customStyle="1" w:styleId="162">
    <w:name w:val="纯文本 Char1"/>
    <w:qFormat/>
    <w:uiPriority w:val="0"/>
    <w:rPr>
      <w:rFonts w:ascii="宋体" w:hAnsi="Courier New" w:eastAsia="宋体" w:cs="Courier New"/>
      <w:kern w:val="2"/>
      <w:sz w:val="21"/>
      <w:szCs w:val="21"/>
      <w:lang w:val="en-US" w:eastAsia="zh-CN" w:bidi="ar-SA"/>
    </w:rPr>
  </w:style>
  <w:style w:type="character" w:customStyle="1" w:styleId="163">
    <w:name w:val="正文文本缩进 2 Char1"/>
    <w:qFormat/>
    <w:uiPriority w:val="0"/>
    <w:rPr>
      <w:rFonts w:ascii="Times New Roman" w:hAnsi="Times New Roman" w:eastAsia="宋体" w:cs="Times New Roman"/>
      <w:kern w:val="2"/>
      <w:sz w:val="21"/>
      <w:lang w:val="en-US" w:eastAsia="zh-CN" w:bidi="ar-SA"/>
    </w:rPr>
  </w:style>
  <w:style w:type="character" w:customStyle="1" w:styleId="164">
    <w:name w:val="文档结构图 字符1"/>
    <w:semiHidden/>
    <w:qFormat/>
    <w:uiPriority w:val="99"/>
    <w:rPr>
      <w:rFonts w:ascii="Heiti SC Light" w:hAnsi="Times New Roman" w:eastAsia="Heiti SC Light" w:cs="Times New Roman"/>
    </w:rPr>
  </w:style>
  <w:style w:type="character" w:customStyle="1" w:styleId="165">
    <w:name w:val="正文文本缩进 Char1"/>
    <w:qFormat/>
    <w:uiPriority w:val="0"/>
    <w:rPr>
      <w:rFonts w:ascii="Times New Roman" w:hAnsi="Times New Roman" w:eastAsia="宋体" w:cs="Times New Roman"/>
      <w:kern w:val="2"/>
      <w:sz w:val="21"/>
      <w:lang w:val="en-US" w:eastAsia="zh-CN" w:bidi="ar-SA"/>
    </w:rPr>
  </w:style>
  <w:style w:type="character" w:customStyle="1" w:styleId="166">
    <w:name w:val="正文文本缩进字符1"/>
    <w:semiHidden/>
    <w:qFormat/>
    <w:uiPriority w:val="99"/>
    <w:rPr>
      <w:rFonts w:ascii="Times New Roman" w:hAnsi="Times New Roman" w:eastAsia="宋体" w:cs="Times New Roman"/>
      <w:sz w:val="21"/>
      <w:szCs w:val="20"/>
    </w:rPr>
  </w:style>
  <w:style w:type="character" w:customStyle="1" w:styleId="167">
    <w:name w:val="日期字符1"/>
    <w:semiHidden/>
    <w:qFormat/>
    <w:uiPriority w:val="99"/>
    <w:rPr>
      <w:rFonts w:ascii="Times New Roman" w:hAnsi="Times New Roman" w:eastAsia="宋体" w:cs="Times New Roman"/>
      <w:sz w:val="21"/>
      <w:szCs w:val="20"/>
    </w:rPr>
  </w:style>
  <w:style w:type="table" w:customStyle="1" w:styleId="168">
    <w:name w:val="网格表 1 浅色1"/>
    <w:basedOn w:val="47"/>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9">
    <w:name w:val="纯文本 字符1"/>
    <w:semiHidden/>
    <w:qFormat/>
    <w:locked/>
    <w:uiPriority w:val="0"/>
    <w:rPr>
      <w:rFonts w:ascii="宋体" w:hAnsi="Courier New"/>
    </w:rPr>
  </w:style>
  <w:style w:type="character" w:customStyle="1" w:styleId="170">
    <w:name w:val="Header or footer|1_"/>
    <w:qFormat/>
    <w:uiPriority w:val="0"/>
    <w:rPr>
      <w:rFonts w:ascii="PMingLiU" w:hAnsi="PMingLiU" w:eastAsia="PMingLiU" w:cs="PMingLiU"/>
      <w:sz w:val="17"/>
      <w:szCs w:val="17"/>
      <w:u w:val="none"/>
    </w:rPr>
  </w:style>
  <w:style w:type="character" w:customStyle="1" w:styleId="171">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2">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3">
    <w:name w:val="Body text|3 Exact"/>
    <w:link w:val="174"/>
    <w:qFormat/>
    <w:uiPriority w:val="0"/>
    <w:rPr>
      <w:rFonts w:ascii="PMingLiU" w:hAnsi="PMingLiU" w:eastAsia="PMingLiU" w:cs="PMingLiU"/>
      <w:w w:val="350"/>
      <w:sz w:val="32"/>
      <w:szCs w:val="32"/>
      <w:shd w:val="clear" w:color="auto" w:fill="FFFFFF"/>
      <w:lang w:eastAsia="en-US" w:bidi="en-US"/>
    </w:rPr>
  </w:style>
  <w:style w:type="paragraph" w:customStyle="1" w:styleId="174">
    <w:name w:val="Body text|3"/>
    <w:basedOn w:val="1"/>
    <w:link w:val="173"/>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5">
    <w:name w:val="Body text|2_"/>
    <w:link w:val="176"/>
    <w:qFormat/>
    <w:uiPriority w:val="0"/>
    <w:rPr>
      <w:rFonts w:ascii="PMingLiU" w:hAnsi="PMingLiU" w:eastAsia="PMingLiU" w:cs="PMingLiU"/>
      <w:sz w:val="22"/>
      <w:shd w:val="clear" w:color="auto" w:fill="FFFFFF"/>
    </w:rPr>
  </w:style>
  <w:style w:type="paragraph" w:customStyle="1" w:styleId="176">
    <w:name w:val="Body text|2"/>
    <w:basedOn w:val="1"/>
    <w:link w:val="175"/>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7">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8">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9">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0">
    <w:name w:val="Heading #2|1_"/>
    <w:link w:val="181"/>
    <w:qFormat/>
    <w:uiPriority w:val="0"/>
    <w:rPr>
      <w:rFonts w:ascii="PMingLiU" w:hAnsi="PMingLiU" w:eastAsia="PMingLiU" w:cs="PMingLiU"/>
      <w:b/>
      <w:bCs/>
      <w:spacing w:val="20"/>
      <w:sz w:val="23"/>
      <w:szCs w:val="23"/>
      <w:shd w:val="clear" w:color="auto" w:fill="FFFFFF"/>
    </w:rPr>
  </w:style>
  <w:style w:type="paragraph" w:customStyle="1" w:styleId="181">
    <w:name w:val="Heading #2|1"/>
    <w:basedOn w:val="1"/>
    <w:link w:val="180"/>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2">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3">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4">
    <w:name w:val="Body text|4_"/>
    <w:link w:val="185"/>
    <w:qFormat/>
    <w:uiPriority w:val="0"/>
    <w:rPr>
      <w:rFonts w:ascii="PMingLiU" w:hAnsi="PMingLiU" w:eastAsia="PMingLiU" w:cs="PMingLiU"/>
      <w:sz w:val="19"/>
      <w:szCs w:val="19"/>
      <w:shd w:val="clear" w:color="auto" w:fill="FFFFFF"/>
    </w:rPr>
  </w:style>
  <w:style w:type="paragraph" w:customStyle="1" w:styleId="185">
    <w:name w:val="Body text|4"/>
    <w:basedOn w:val="1"/>
    <w:link w:val="184"/>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6">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7">
    <w:name w:val="Body text|5_"/>
    <w:link w:val="188"/>
    <w:qFormat/>
    <w:uiPriority w:val="0"/>
    <w:rPr>
      <w:sz w:val="8"/>
      <w:szCs w:val="8"/>
      <w:shd w:val="clear" w:color="auto" w:fill="FFFFFF"/>
      <w:lang w:eastAsia="en-US" w:bidi="en-US"/>
    </w:rPr>
  </w:style>
  <w:style w:type="paragraph" w:customStyle="1" w:styleId="188">
    <w:name w:val="Body text|5"/>
    <w:basedOn w:val="1"/>
    <w:link w:val="187"/>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9">
    <w:name w:val="font11"/>
    <w:qFormat/>
    <w:uiPriority w:val="0"/>
    <w:rPr>
      <w:rFonts w:hint="eastAsia" w:ascii="宋体" w:hAnsi="宋体" w:eastAsia="宋体" w:cs="宋体"/>
      <w:color w:val="000000"/>
      <w:sz w:val="22"/>
      <w:szCs w:val="22"/>
      <w:u w:val="none"/>
    </w:rPr>
  </w:style>
  <w:style w:type="character" w:customStyle="1" w:styleId="190">
    <w:name w:val="font01"/>
    <w:qFormat/>
    <w:uiPriority w:val="0"/>
    <w:rPr>
      <w:rFonts w:ascii="font-weight : 400" w:hAnsi="font-weight : 400" w:eastAsia="font-weight : 400" w:cs="font-weight : 400"/>
      <w:color w:val="000000"/>
      <w:sz w:val="22"/>
      <w:szCs w:val="22"/>
      <w:u w:val="none"/>
    </w:rPr>
  </w:style>
  <w:style w:type="paragraph" w:customStyle="1" w:styleId="191">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2">
    <w:name w:val="Placeholder Text"/>
    <w:basedOn w:val="49"/>
    <w:semiHidden/>
    <w:qFormat/>
    <w:uiPriority w:val="99"/>
    <w:rPr>
      <w:color w:val="808080"/>
    </w:rPr>
  </w:style>
  <w:style w:type="paragraph" w:customStyle="1" w:styleId="193">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4">
    <w:name w:val="B1二级标题"/>
    <w:basedOn w:val="1"/>
    <w:link w:val="195"/>
    <w:qFormat/>
    <w:uiPriority w:val="99"/>
    <w:pPr>
      <w:widowControl/>
      <w:numPr>
        <w:ilvl w:val="1"/>
        <w:numId w:val="1"/>
      </w:numPr>
      <w:spacing w:before="156" w:beforeLines="50" w:after="156" w:line="360" w:lineRule="auto"/>
      <w:jc w:val="left"/>
      <w:outlineLvl w:val="1"/>
    </w:pPr>
    <w:rPr>
      <w:sz w:val="24"/>
      <w:szCs w:val="24"/>
    </w:rPr>
  </w:style>
  <w:style w:type="character" w:customStyle="1" w:styleId="195">
    <w:name w:val="B1二级标题 Char"/>
    <w:link w:val="194"/>
    <w:qFormat/>
    <w:uiPriority w:val="99"/>
    <w:rPr>
      <w:rFonts w:ascii="Times New Roman" w:hAnsi="Times New Roman" w:eastAsia="宋体" w:cs="Times New Roman"/>
      <w:sz w:val="24"/>
      <w:szCs w:val="24"/>
    </w:rPr>
  </w:style>
  <w:style w:type="paragraph" w:customStyle="1" w:styleId="196">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7">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8">
    <w:name w:val="网格型1"/>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9">
    <w:name w:val="列表段落 字符"/>
    <w:link w:val="114"/>
    <w:qFormat/>
    <w:uiPriority w:val="34"/>
    <w:rPr>
      <w:rFonts w:ascii="Times New Roman" w:hAnsi="Times New Roman"/>
      <w:kern w:val="2"/>
      <w:sz w:val="21"/>
    </w:rPr>
  </w:style>
  <w:style w:type="paragraph" w:customStyle="1" w:styleId="200">
    <w:name w:val="修订1"/>
    <w:hidden/>
    <w:semiHidden/>
    <w:uiPriority w:val="99"/>
    <w:rPr>
      <w:rFonts w:ascii="Times New Roman" w:hAnsi="Times New Roman" w:eastAsia="宋体" w:cs="Times New Roman"/>
      <w:kern w:val="2"/>
      <w:sz w:val="21"/>
      <w:lang w:val="en-US" w:eastAsia="zh-CN" w:bidi="ar-SA"/>
    </w:rPr>
  </w:style>
  <w:style w:type="character" w:customStyle="1" w:styleId="201">
    <w:name w:val="纯文本 Char"/>
    <w:qFormat/>
    <w:uiPriority w:val="0"/>
    <w:rPr>
      <w:rFonts w:ascii="宋体" w:hAnsi="Courier New" w:eastAsia="宋体" w:cs="Times New Roman"/>
    </w:rPr>
  </w:style>
  <w:style w:type="paragraph" w:customStyle="1" w:styleId="202">
    <w:name w:val="_Style 200"/>
    <w:basedOn w:val="1"/>
    <w:next w:val="114"/>
    <w:link w:val="203"/>
    <w:qFormat/>
    <w:uiPriority w:val="34"/>
    <w:pPr>
      <w:ind w:firstLine="420" w:firstLineChars="200"/>
    </w:pPr>
  </w:style>
  <w:style w:type="character" w:customStyle="1" w:styleId="203">
    <w:name w:val="列出段落 Char"/>
    <w:link w:val="202"/>
    <w:qFormat/>
    <w:uiPriority w:val="34"/>
    <w:rPr>
      <w:rFonts w:ascii="Times New Roman" w:hAnsi="Times New Roman"/>
      <w:kern w:val="2"/>
      <w:sz w:val="21"/>
    </w:rPr>
  </w:style>
  <w:style w:type="paragraph" w:customStyle="1" w:styleId="204">
    <w:name w:val="彩色列表 - 着色 1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255BD5-16D7-46D0-8817-45192CDB2B2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6066</Words>
  <Characters>34579</Characters>
  <Lines>288</Lines>
  <Paragraphs>81</Paragraphs>
  <TotalTime>114</TotalTime>
  <ScaleCrop>false</ScaleCrop>
  <LinksUpToDate>false</LinksUpToDate>
  <CharactersWithSpaces>40564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2020-09-03T08:35:00Z</dcterms:created>
  <dc:creator>郑晓伟</dc:creator>
  <cp:lastModifiedBy>NTKO</cp:lastModifiedBy>
  <cp:lastPrinted>2021-12-30T10:49:00Z</cp:lastPrinted>
  <dcterms:modified xsi:type="dcterms:W3CDTF">2022-01-04T09:09:08Z</dcterms:modified>
  <dc:title>前海时代项目定位及物业发展建议研究服务项目比选文件</dc:title>
  <cp:revision>399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