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637" w:firstLineChars="177"/>
        <w:jc w:val="center"/>
        <w:textAlignment w:val="baseline"/>
        <w:rPr>
          <w:sz w:val="36"/>
          <w:szCs w:val="24"/>
          <w:highlight w:val="none"/>
        </w:rPr>
      </w:pPr>
    </w:p>
    <w:p>
      <w:pPr>
        <w:jc w:val="center"/>
        <w:outlineLvl w:val="1"/>
        <w:rPr>
          <w:rFonts w:ascii="仿宋" w:hAnsi="仿宋" w:eastAsia="仿宋" w:cs="仿宋"/>
          <w:b/>
          <w:bCs/>
          <w:sz w:val="36"/>
          <w:szCs w:val="40"/>
          <w:highlight w:val="none"/>
        </w:rPr>
      </w:pPr>
      <w:bookmarkStart w:id="0" w:name="_Toc25135"/>
      <w:bookmarkStart w:id="1" w:name="_Toc87283277"/>
      <w:bookmarkStart w:id="2" w:name="_Toc9527"/>
      <w:bookmarkStart w:id="3" w:name="_Toc87283028"/>
      <w:bookmarkStart w:id="4" w:name="_Toc73037582"/>
      <w:bookmarkStart w:id="5" w:name="_Toc453946002"/>
      <w:r>
        <w:rPr>
          <w:rFonts w:hint="eastAsia" w:ascii="仿宋" w:hAnsi="仿宋" w:eastAsia="仿宋" w:cs="仿宋"/>
          <w:b/>
          <w:bCs/>
          <w:sz w:val="36"/>
          <w:szCs w:val="40"/>
          <w:highlight w:val="none"/>
        </w:rPr>
        <w:t>“十四五”轨道交通枢纽综合开发项目规划设计研究及核心区建筑概念设计（四）任务书</w:t>
      </w:r>
      <w:bookmarkEnd w:id="0"/>
      <w:bookmarkEnd w:id="1"/>
      <w:bookmarkEnd w:id="2"/>
      <w:bookmarkEnd w:id="3"/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6" w:name="_Toc87283029"/>
      <w:bookmarkStart w:id="7" w:name="_Toc30370"/>
      <w:bookmarkStart w:id="8" w:name="_Toc6157"/>
      <w:bookmarkStart w:id="9" w:name="_Toc87283278"/>
      <w:r>
        <w:rPr>
          <w:rFonts w:hint="eastAsia" w:ascii="宋体" w:hAnsi="宋体"/>
          <w:b/>
          <w:sz w:val="32"/>
          <w:szCs w:val="32"/>
          <w:highlight w:val="none"/>
        </w:rPr>
        <w:t>一、项目背景</w:t>
      </w:r>
      <w:bookmarkEnd w:id="4"/>
      <w:bookmarkEnd w:id="6"/>
      <w:bookmarkEnd w:id="7"/>
      <w:bookmarkEnd w:id="8"/>
      <w:bookmarkEnd w:id="9"/>
    </w:p>
    <w:p>
      <w:pPr>
        <w:snapToGrid w:val="0"/>
        <w:spacing w:line="480" w:lineRule="exact"/>
        <w:ind w:firstLine="480" w:firstLineChars="200"/>
        <w:textAlignment w:val="baseline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“十四五”轨道交通枢纽综合开发项目规划设计研究及核心区建筑概念设计（四）主要为梅林关枢纽及周边片区的前期研究工作。梅林关枢纽位于深圳市城市发展中轴之上，位于南北向交通主轴。枢纽是集1条城际铁路（广深中轴城际铁路）、3条城市轨道（轨道4、6、22号线）以及常规配套交通于一体，是以城际为主、兼顾长途的区域综合交通枢纽。</w:t>
      </w:r>
    </w:p>
    <w:p>
      <w:pPr>
        <w:pStyle w:val="2"/>
        <w:snapToGrid w:val="0"/>
        <w:jc w:val="center"/>
        <w:rPr>
          <w:highlight w:val="none"/>
        </w:rPr>
      </w:pPr>
      <w:r>
        <w:rPr>
          <w:highlight w:val="none"/>
        </w:rPr>
        <w:drawing>
          <wp:inline distT="0" distB="0" distL="0" distR="0">
            <wp:extent cx="3605530" cy="3553460"/>
            <wp:effectExtent l="0" t="0" r="1397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53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textAlignment w:val="baseline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图1  区位图</w:t>
      </w: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10" w:name="_Toc73037583"/>
      <w:bookmarkStart w:id="11" w:name="_Toc27455"/>
      <w:bookmarkStart w:id="12" w:name="_Toc87283030"/>
      <w:bookmarkStart w:id="13" w:name="_Toc18891"/>
      <w:bookmarkStart w:id="14" w:name="_Toc87283279"/>
      <w:r>
        <w:rPr>
          <w:rFonts w:hint="eastAsia" w:ascii="宋体" w:hAnsi="宋体"/>
          <w:b/>
          <w:sz w:val="32"/>
          <w:szCs w:val="32"/>
          <w:highlight w:val="none"/>
        </w:rPr>
        <w:t>二、项目</w:t>
      </w:r>
      <w:bookmarkEnd w:id="10"/>
      <w:r>
        <w:rPr>
          <w:rFonts w:hint="eastAsia" w:ascii="宋体" w:hAnsi="宋体"/>
          <w:b/>
          <w:sz w:val="32"/>
          <w:szCs w:val="32"/>
          <w:highlight w:val="none"/>
        </w:rPr>
        <w:t>概况</w:t>
      </w:r>
      <w:bookmarkEnd w:id="11"/>
      <w:bookmarkEnd w:id="12"/>
      <w:bookmarkEnd w:id="13"/>
      <w:bookmarkEnd w:id="14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梅林关北侧及东侧地区以居住用地为主，南侧及西侧以绿地为主，部分为政府社团用地。枢纽用地现状主要为绿地、交通设施用地为主。枢纽范围内的现状道路车道数不匹配，大量车辆堵在梅林关，高峰期间拥堵问题严重。梅林关作为我市主要的交通拥堵点，已成为政府部门及社会高度关注的热点民生问题。与此同时，市交通局正在开展皇岗路快速化改造工程，该道路改造南起广深高速，北至梅观高速，沿梅观路线位进行“地下扩容”以缓解关口交通拥堵问题。</w:t>
      </w:r>
    </w:p>
    <w:p>
      <w:pPr>
        <w:snapToGrid w:val="0"/>
        <w:ind w:firstLine="630"/>
        <w:jc w:val="left"/>
        <w:textAlignment w:val="baseline"/>
        <w:rPr>
          <w:rFonts w:ascii="仿宋_GB2312" w:hAnsi="仿宋_GB2312" w:eastAsia="仿宋_GB2312" w:cs="仿宋_GB2312"/>
          <w:kern w:val="0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  <w:highlight w:val="none"/>
        </w:rPr>
        <w:drawing>
          <wp:inline distT="0" distB="0" distL="0" distR="0">
            <wp:extent cx="4999990" cy="2872105"/>
            <wp:effectExtent l="0" t="0" r="1016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346" cy="28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textAlignment w:val="baseline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图2  梅林关枢纽地区现状图</w:t>
      </w: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15" w:name="_Toc87283280"/>
      <w:bookmarkStart w:id="16" w:name="_Toc87283031"/>
      <w:bookmarkStart w:id="17" w:name="_Toc31928"/>
      <w:bookmarkStart w:id="18" w:name="_Toc24126"/>
      <w:r>
        <w:rPr>
          <w:rFonts w:hint="eastAsia" w:ascii="宋体" w:hAnsi="宋体"/>
          <w:b/>
          <w:sz w:val="32"/>
          <w:szCs w:val="32"/>
          <w:highlight w:val="none"/>
        </w:rPr>
        <w:t>三、研究范围</w:t>
      </w:r>
      <w:bookmarkEnd w:id="15"/>
      <w:bookmarkEnd w:id="16"/>
      <w:bookmarkEnd w:id="17"/>
      <w:bookmarkEnd w:id="18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本项目建议研究范围分为两个层次：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19" w:name="_Toc2699"/>
      <w:r>
        <w:rPr>
          <w:rFonts w:hint="eastAsia"/>
          <w:sz w:val="24"/>
          <w:szCs w:val="24"/>
          <w:highlight w:val="none"/>
        </w:rPr>
        <w:t>1、规划研究范围</w:t>
      </w:r>
      <w:bookmarkEnd w:id="19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本次片区规划研究范围为与梅林关枢纽相关的用地单元</w:t>
      </w:r>
      <w:r>
        <w:rPr>
          <w:rFonts w:hint="eastAsia"/>
          <w:sz w:val="24"/>
          <w:szCs w:val="24"/>
          <w:highlight w:val="none"/>
          <w:lang w:eastAsia="zh-CN"/>
        </w:rPr>
        <w:t>。</w:t>
      </w:r>
      <w:r>
        <w:rPr>
          <w:rFonts w:hint="eastAsia"/>
          <w:sz w:val="24"/>
          <w:szCs w:val="24"/>
          <w:highlight w:val="none"/>
        </w:rPr>
        <w:t>考虑枢纽东侧、北侧以现状建成区为主，南侧为南坪快速路及自然山体，本次规划研究范围主要为枢纽地块及枢纽西侧地块，用地面积约131公顷。需对片区的功能策划、公共配套、空间布局、分期建设、开发规模等内容进行统筹考虑与规划。</w:t>
      </w:r>
    </w:p>
    <w:p>
      <w:pPr>
        <w:snapToGrid w:val="0"/>
        <w:jc w:val="center"/>
        <w:textAlignment w:val="baseline"/>
        <w:rPr>
          <w:sz w:val="20"/>
          <w:highlight w:val="none"/>
        </w:rPr>
      </w:pPr>
      <w:r>
        <w:rPr>
          <w:highlight w:val="none"/>
        </w:rPr>
        <w:drawing>
          <wp:inline distT="0" distB="0" distL="114300" distR="114300">
            <wp:extent cx="4267835" cy="2566035"/>
            <wp:effectExtent l="0" t="0" r="18415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45" t="5170" b="5927"/>
                    <a:stretch>
                      <a:fillRect/>
                    </a:stretch>
                  </pic:blipFill>
                  <pic:spPr>
                    <a:xfrm>
                      <a:off x="0" y="0"/>
                      <a:ext cx="426783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textAlignment w:val="baseline"/>
        <w:rPr>
          <w:rFonts w:ascii="仿宋" w:hAnsi="仿宋" w:eastAsia="仿宋" w:cs="仿宋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8"/>
          <w:highlight w:val="none"/>
        </w:rPr>
        <w:t>梅林关枢纽研究范围示意图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20" w:name="_Toc20068"/>
      <w:r>
        <w:rPr>
          <w:rFonts w:hint="eastAsia"/>
          <w:sz w:val="24"/>
          <w:szCs w:val="24"/>
          <w:highlight w:val="none"/>
        </w:rPr>
        <w:t>2、核心区建筑概念设计范围</w:t>
      </w:r>
      <w:bookmarkEnd w:id="20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该范围为梅林关枢纽核心区，用地面积约46公顷，需在该范围结合地铁、城际的规划设计，开展上盖开发项目的建筑概念方案设计工作，明确枢纽及物业开发项目功能配比、流线组织、立体空间、交通衔接等具体设计内容。根据前期初步规划意向方案，核心区规划以商办等功能为主，总建面约70万m</w:t>
      </w:r>
      <w:r>
        <w:rPr>
          <w:rFonts w:hint="eastAsia"/>
          <w:sz w:val="24"/>
          <w:szCs w:val="24"/>
          <w:highlight w:val="none"/>
          <w:vertAlign w:val="superscript"/>
        </w:rPr>
        <w:t>2</w:t>
      </w:r>
      <w:r>
        <w:rPr>
          <w:rFonts w:hint="eastAsia"/>
          <w:sz w:val="24"/>
          <w:szCs w:val="24"/>
          <w:highlight w:val="none"/>
        </w:rPr>
        <w:t>（暂定），计容建筑面积约51万m</w:t>
      </w:r>
      <w:r>
        <w:rPr>
          <w:rFonts w:hint="eastAsia"/>
          <w:sz w:val="24"/>
          <w:szCs w:val="24"/>
          <w:highlight w:val="none"/>
          <w:vertAlign w:val="superscript"/>
        </w:rPr>
        <w:t>2</w:t>
      </w:r>
      <w:r>
        <w:rPr>
          <w:rFonts w:hint="eastAsia"/>
          <w:sz w:val="24"/>
          <w:szCs w:val="24"/>
          <w:highlight w:val="none"/>
        </w:rPr>
        <w:t>（暂定），其中商业15万m</w:t>
      </w:r>
      <w:r>
        <w:rPr>
          <w:rFonts w:hint="eastAsia"/>
          <w:sz w:val="24"/>
          <w:szCs w:val="24"/>
          <w:highlight w:val="none"/>
          <w:vertAlign w:val="superscript"/>
        </w:rPr>
        <w:t>2</w:t>
      </w:r>
      <w:r>
        <w:rPr>
          <w:rFonts w:hint="eastAsia"/>
          <w:sz w:val="24"/>
          <w:szCs w:val="24"/>
          <w:highlight w:val="none"/>
        </w:rPr>
        <w:t>，办公15万m</w:t>
      </w:r>
      <w:r>
        <w:rPr>
          <w:rFonts w:hint="eastAsia"/>
          <w:sz w:val="24"/>
          <w:szCs w:val="24"/>
          <w:highlight w:val="none"/>
          <w:vertAlign w:val="superscript"/>
        </w:rPr>
        <w:t>2</w:t>
      </w:r>
      <w:r>
        <w:rPr>
          <w:rFonts w:hint="eastAsia"/>
          <w:sz w:val="24"/>
          <w:szCs w:val="24"/>
          <w:highlight w:val="none"/>
        </w:rPr>
        <w:t>，酒店20万m</w:t>
      </w:r>
      <w:r>
        <w:rPr>
          <w:rFonts w:hint="eastAsia"/>
          <w:sz w:val="24"/>
          <w:szCs w:val="24"/>
          <w:highlight w:val="none"/>
          <w:vertAlign w:val="superscript"/>
        </w:rPr>
        <w:t>2</w:t>
      </w:r>
      <w:r>
        <w:rPr>
          <w:rFonts w:hint="eastAsia"/>
          <w:sz w:val="24"/>
          <w:szCs w:val="24"/>
          <w:highlight w:val="none"/>
        </w:rPr>
        <w:t>。</w:t>
      </w:r>
    </w:p>
    <w:p>
      <w:pPr>
        <w:snapToGrid w:val="0"/>
        <w:spacing w:line="360" w:lineRule="auto"/>
        <w:jc w:val="center"/>
        <w:textAlignment w:val="baseline"/>
        <w:rPr>
          <w:rFonts w:ascii="仿宋_GB2312" w:hAnsi="仿宋_GB2312" w:eastAsia="仿宋_GB2312" w:cs="仿宋_GB2312"/>
          <w:kern w:val="0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  <w:highlight w:val="none"/>
        </w:rPr>
        <w:drawing>
          <wp:inline distT="0" distB="0" distL="114300" distR="114300">
            <wp:extent cx="5442585" cy="3378200"/>
            <wp:effectExtent l="0" t="0" r="5715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679" t="1897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textAlignment w:val="baseline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梅林关枢纽片区初步规划功能意向布局图</w:t>
      </w:r>
    </w:p>
    <w:p>
      <w:pPr>
        <w:snapToGrid w:val="0"/>
        <w:ind w:firstLine="424" w:firstLineChars="177"/>
        <w:jc w:val="both"/>
        <w:textAlignment w:val="baseline"/>
        <w:rPr>
          <w:rFonts w:ascii="Times New Roman" w:hAnsi="Times New Roman" w:eastAsia="宋体" w:cs="Times New Roman"/>
          <w:kern w:val="2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目前龙华区政府正在推动梅林关枢纽片区转型升级，除本项目外，周边用地也根据新的定位承担了相应功能，本次研究不局限于以上范围，可根据研究情况适当扩大。</w:t>
      </w: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21" w:name="_Toc87283281"/>
      <w:bookmarkStart w:id="22" w:name="_Toc87283032"/>
      <w:bookmarkStart w:id="23" w:name="_Toc22413"/>
      <w:bookmarkStart w:id="24" w:name="_Toc10964"/>
      <w:bookmarkStart w:id="25" w:name="_Toc73037584"/>
      <w:r>
        <w:rPr>
          <w:rFonts w:hint="eastAsia" w:ascii="宋体" w:hAnsi="宋体"/>
          <w:b/>
          <w:sz w:val="32"/>
          <w:szCs w:val="32"/>
          <w:highlight w:val="none"/>
        </w:rPr>
        <w:t>四、研究内容</w:t>
      </w:r>
      <w:bookmarkEnd w:id="21"/>
      <w:bookmarkEnd w:id="22"/>
      <w:bookmarkEnd w:id="23"/>
      <w:bookmarkEnd w:id="24"/>
      <w:bookmarkEnd w:id="25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结合梅林关枢纽轨道规划设计情况，统筹考虑枢纽片区用地现状、片区整体规划及城市交通等因素，本次工作内容包括三个专题内容，专题应相互印证、统筹考虑，后形成整体成果，相应成果应与相关规划及技术方案应确保关口交通顺畅，方案应有序、简洁、经济、安全，并具备可实施性，满足工程对接的要求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专题一、片区规划设计研究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根据项目具体情况编制相应的规划设计研究成果，提出空间设计构想，明确规划设计条件，分析枢纽功能定位及明确枢纽轨道总体布局方案，指导项目开发及决策，以供我司与原业主合作谈判及与政府相关部门沟通。规划方案需根据规划审批需要（如有），同步配合完成规划方案编制及报审工作。主要包括但不限于以下内容：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26" w:name="_Toc28968"/>
      <w:r>
        <w:rPr>
          <w:rFonts w:hint="eastAsia"/>
          <w:sz w:val="24"/>
          <w:szCs w:val="24"/>
          <w:highlight w:val="none"/>
        </w:rPr>
        <w:t>1、综合分析</w:t>
      </w:r>
      <w:bookmarkEnd w:id="26"/>
    </w:p>
    <w:p>
      <w:pPr>
        <w:pStyle w:val="2"/>
        <w:snapToGrid w:val="0"/>
        <w:ind w:firstLine="424" w:firstLineChars="177"/>
        <w:outlineLvl w:val="2"/>
        <w:rPr>
          <w:sz w:val="24"/>
          <w:szCs w:val="24"/>
          <w:highlight w:val="none"/>
        </w:rPr>
      </w:pPr>
      <w:r>
        <w:rPr>
          <w:rFonts w:hint="eastAsia"/>
          <w:kern w:val="2"/>
          <w:sz w:val="24"/>
          <w:szCs w:val="24"/>
          <w:highlight w:val="none"/>
        </w:rPr>
        <w:t xml:space="preserve"> 投标人应充分搜集和研究上位规划资料，特别是对在编的分区国土空间规划、区政府目前推动的片区转型升级等资料进行综合分析。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27" w:name="_Toc11138"/>
      <w:r>
        <w:rPr>
          <w:rFonts w:hint="eastAsia"/>
          <w:sz w:val="24"/>
          <w:szCs w:val="24"/>
          <w:highlight w:val="none"/>
        </w:rPr>
        <w:t>2、功能定位及开发规模</w:t>
      </w:r>
      <w:bookmarkEnd w:id="27"/>
    </w:p>
    <w:p>
      <w:pPr>
        <w:pStyle w:val="2"/>
        <w:ind w:firstLine="372"/>
        <w:rPr>
          <w:kern w:val="2"/>
          <w:sz w:val="24"/>
          <w:szCs w:val="24"/>
          <w:highlight w:val="none"/>
        </w:rPr>
      </w:pPr>
      <w:r>
        <w:rPr>
          <w:rFonts w:hint="eastAsia"/>
          <w:kern w:val="2"/>
          <w:sz w:val="24"/>
          <w:szCs w:val="24"/>
          <w:highlight w:val="none"/>
        </w:rPr>
        <w:t>（</w:t>
      </w:r>
      <w:r>
        <w:rPr>
          <w:kern w:val="2"/>
          <w:sz w:val="24"/>
          <w:szCs w:val="24"/>
          <w:highlight w:val="none"/>
        </w:rPr>
        <w:t>1</w:t>
      </w:r>
      <w:r>
        <w:rPr>
          <w:rFonts w:hint="eastAsia"/>
          <w:kern w:val="2"/>
          <w:sz w:val="24"/>
          <w:szCs w:val="24"/>
          <w:highlight w:val="none"/>
        </w:rPr>
        <w:t>）分析、解读在编的分区国土空间规划，进一步明确本项目的功能定位。</w:t>
      </w:r>
    </w:p>
    <w:p>
      <w:pPr>
        <w:pStyle w:val="2"/>
        <w:ind w:firstLine="372"/>
        <w:rPr>
          <w:kern w:val="2"/>
          <w:sz w:val="24"/>
          <w:szCs w:val="24"/>
          <w:highlight w:val="none"/>
        </w:rPr>
      </w:pPr>
      <w:r>
        <w:rPr>
          <w:rFonts w:hint="eastAsia"/>
          <w:kern w:val="2"/>
          <w:sz w:val="24"/>
          <w:szCs w:val="24"/>
          <w:highlight w:val="none"/>
        </w:rPr>
        <w:t>（</w:t>
      </w:r>
      <w:r>
        <w:rPr>
          <w:kern w:val="2"/>
          <w:sz w:val="24"/>
          <w:szCs w:val="24"/>
          <w:highlight w:val="none"/>
        </w:rPr>
        <w:t>2</w:t>
      </w:r>
      <w:r>
        <w:rPr>
          <w:rFonts w:hint="eastAsia"/>
          <w:kern w:val="2"/>
          <w:sz w:val="24"/>
          <w:szCs w:val="24"/>
          <w:highlight w:val="none"/>
        </w:rPr>
        <w:t>）本项目将纳入近期法定图则修编计划，结合本项目功能定位与在编的法定图则进行充分协调，提出本项目的合理开发规模和功能业态比例。</w:t>
      </w:r>
    </w:p>
    <w:p>
      <w:pPr>
        <w:snapToGrid w:val="0"/>
        <w:ind w:firstLine="371" w:firstLineChars="177"/>
        <w:textAlignment w:val="baseline"/>
        <w:outlineLvl w:val="2"/>
        <w:rPr>
          <w:sz w:val="24"/>
          <w:szCs w:val="24"/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3</w:t>
      </w:r>
      <w:r>
        <w:rPr>
          <w:rFonts w:hint="eastAsia"/>
          <w:sz w:val="24"/>
          <w:szCs w:val="24"/>
          <w:highlight w:val="none"/>
        </w:rPr>
        <w:t>）根据交通、市政承载力，深入分析梅林关枢纽综合开发项目建筑规模和布局等。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28" w:name="_Toc13218"/>
      <w:r>
        <w:rPr>
          <w:rFonts w:hint="eastAsia"/>
          <w:sz w:val="24"/>
          <w:szCs w:val="24"/>
          <w:highlight w:val="none"/>
        </w:rPr>
        <w:t>3、规划构思与空间设计</w:t>
      </w:r>
      <w:bookmarkEnd w:id="28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（1）规划构思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（2）规划布局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（3）城市设计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（4）支撑系统</w:t>
      </w:r>
    </w:p>
    <w:p>
      <w:pPr>
        <w:snapToGrid w:val="0"/>
        <w:ind w:firstLine="424" w:firstLineChars="177"/>
        <w:textAlignment w:val="baseline"/>
        <w:outlineLvl w:val="2"/>
        <w:rPr>
          <w:sz w:val="24"/>
          <w:szCs w:val="24"/>
          <w:highlight w:val="none"/>
        </w:rPr>
      </w:pPr>
      <w:bookmarkStart w:id="29" w:name="_Toc20394"/>
      <w:r>
        <w:rPr>
          <w:rFonts w:hint="eastAsia"/>
          <w:sz w:val="24"/>
          <w:szCs w:val="24"/>
          <w:highlight w:val="none"/>
        </w:rPr>
        <w:t>4、枢纽及片区地下交通空间一体化规划</w:t>
      </w:r>
      <w:bookmarkEnd w:id="29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（1）梅林关枢纽功能定位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（2）城市规划背景下的枢纽需求分析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（3）枢纽引入线路的必要性分析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（4）线路通道及选址规划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（5）枢纽总体布局规划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（6）片区地下交通空间一体化规划研究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专题二、交通研究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明确枢纽交通定位；开展梅林关枢纽及规划研究范围交通承载力测算，提出开发项目适宜的建筑规模指导意见，完成对应综合交通研究；详细研究城市交通布局方案；根据枢纽布局完善相关综合交通布局方案，明确枢纽核心区开发项目交通布局方案；提出实施过程中的不同阶段开展相应交通组织方案；做好与周边既有、在建及规划工程的相关工程衔接设计，达到工程可行，保障后续项目的实施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1、交通需求分析与承载力评估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（1）交通特征大数据分析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（2）模型构建及需求预测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（3）片区客流预测分析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（4）交通承载力测试评估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（5）枢纽客流预测研究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2、片区综合交通改善规划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（1）交通发展战略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（2）道路、公交、慢行交通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（3）需求调控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（4）接驳场站布局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（5）市政及配套设施布局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（6）相关系统及设施空间布局研究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</w:t>
      </w:r>
      <w:r>
        <w:rPr>
          <w:sz w:val="24"/>
          <w:szCs w:val="24"/>
          <w:highlight w:val="none"/>
        </w:rPr>
        <w:t>7</w:t>
      </w:r>
      <w:r>
        <w:rPr>
          <w:rFonts w:hint="eastAsia"/>
          <w:sz w:val="24"/>
          <w:szCs w:val="24"/>
          <w:highlight w:val="none"/>
        </w:rPr>
        <w:t>）实施期间的交通组织方案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专题三、核心区建筑概念设计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开展枢纽主体及枢纽上盖地块站城一体化物业综合开发研究，分析项目及周边的场地环境、景观和空间特征，重点研究轨道交通枢纽概念方案，对枢纽功能区块划分、动线设计、核心区空间组织、建筑形态（城市界面、建筑高度、体量关系及地上地下衔接等）、公共空间、城市景观、交通组织和慢行系统等内容进行研究形成TOD物业综合开发概念设计方案；分析地块所在区域基础设施、轨道交通建设对地块综合开发的影响，深化轨道交通站城一体化工程如何实施，提出策划方案及实施路线，对地块开发与轨道交通之间的工程预留或同步实施提出建议。研究主要包括但不限于以下内容：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1、采用国际化先进设计理念，紧密围绕站城一体化，形成多个概念方案比选。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2、对范围内既有、在建及规划线路轨道交通车站平面、竖向方案进行研究，对范围内现状、在建及规划道路及市政配套设施进行研究，稳定研究边界，结合规划要求提出枢纽布局方案。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3、进行枢纽概念设计，梳理支撑片区综合开发要求下的轨道交通建设进度，提出片区建设策划方案及实施路线。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4、根据业主及相关部门要求，提出枢纽优化建议，开展地上地下空间布局、与枢纽外周边接驳、城市交通、换乘方式、交通流线组织和竖向设计等工作。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5、结合交通系统方案及片区规划方案，按照枢纽布局要求，对枢纽片区交通与地下空间进行一体化分析，梳理功能区块，完成动线设计，涉及上盖或者站点上方预留的，提出设备及结构预留要求，明确枢纽用房等预 留布局，厘清道路及市政配套工程接口，提出可行方案。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6、开展空间形体组织、建筑单体概念设计、建筑功能（含配套）布局、公共空间、景观布局、地下空间利用以及设计的控制要点评估与优化等工作。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7、梳理核心区物业开发地块涉及的既有4号线、6号线、广深港高铁、厦深铁路、梅观路，在建的皇岗路下沉隧道，规划的22号线、中轴际线保护范围及相关权属管理与安全责任关系，借鉴相关经验做法及规范要求，提出支撑综合开发的现状工程改造或保护方案。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8、配合业主与相关政府及主管部门进行方案汇报等工作。</w:t>
      </w: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30" w:name="_Toc4236"/>
      <w:bookmarkStart w:id="31" w:name="_Toc11736"/>
      <w:bookmarkStart w:id="32" w:name="_Toc87283033"/>
      <w:bookmarkStart w:id="33" w:name="_Toc87283282"/>
      <w:r>
        <w:rPr>
          <w:rFonts w:hint="eastAsia" w:ascii="宋体" w:hAnsi="宋体"/>
          <w:b/>
          <w:sz w:val="32"/>
          <w:szCs w:val="32"/>
          <w:highlight w:val="none"/>
        </w:rPr>
        <w:t>五、服务期限</w:t>
      </w:r>
      <w:bookmarkEnd w:id="30"/>
      <w:bookmarkEnd w:id="31"/>
      <w:bookmarkEnd w:id="32"/>
      <w:bookmarkEnd w:id="33"/>
    </w:p>
    <w:p>
      <w:pPr>
        <w:spacing w:line="560" w:lineRule="exact"/>
        <w:ind w:firstLine="480" w:firstLineChars="20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自合同签订之日起至合同全部工作完成之日止。</w:t>
      </w: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34" w:name="_Toc14435"/>
      <w:bookmarkStart w:id="35" w:name="_Toc7671"/>
      <w:r>
        <w:rPr>
          <w:rFonts w:hint="eastAsia" w:ascii="宋体" w:hAnsi="宋体"/>
          <w:b/>
          <w:sz w:val="32"/>
          <w:szCs w:val="32"/>
          <w:highlight w:val="none"/>
        </w:rPr>
        <w:t>六、技术要求:</w:t>
      </w:r>
      <w:bookmarkEnd w:id="34"/>
      <w:bookmarkEnd w:id="35"/>
    </w:p>
    <w:p>
      <w:pPr>
        <w:snapToGrid w:val="0"/>
        <w:spacing w:line="480" w:lineRule="exact"/>
        <w:ind w:firstLine="480" w:firstLineChars="200"/>
        <w:textAlignment w:val="baseline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</w:t>
      </w:r>
      <w:r>
        <w:rPr>
          <w:rFonts w:ascii="宋体" w:hAnsi="宋体"/>
          <w:sz w:val="24"/>
          <w:szCs w:val="24"/>
          <w:highlight w:val="none"/>
        </w:rPr>
        <w:t>.</w:t>
      </w:r>
      <w:r>
        <w:rPr>
          <w:rFonts w:hint="eastAsia" w:ascii="宋体" w:hAnsi="宋体"/>
          <w:sz w:val="24"/>
          <w:szCs w:val="24"/>
          <w:highlight w:val="none"/>
        </w:rPr>
        <w:t>主要技术依据：《城市规划编制办法》、《深圳市</w:t>
      </w:r>
      <w:bookmarkStart w:id="39" w:name="_GoBack"/>
      <w:bookmarkEnd w:id="39"/>
      <w:r>
        <w:rPr>
          <w:rFonts w:hint="eastAsia" w:ascii="宋体" w:hAnsi="宋体"/>
          <w:sz w:val="24"/>
          <w:szCs w:val="24"/>
          <w:highlight w:val="none"/>
        </w:rPr>
        <w:t>城市规划标准与准则》（修订）等；</w:t>
      </w:r>
    </w:p>
    <w:p>
      <w:pPr>
        <w:snapToGrid w:val="0"/>
        <w:spacing w:line="480" w:lineRule="exact"/>
        <w:ind w:firstLine="480" w:firstLineChars="200"/>
        <w:textAlignment w:val="baseline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</w:t>
      </w:r>
      <w:r>
        <w:rPr>
          <w:rFonts w:ascii="宋体" w:hAnsi="宋体"/>
          <w:sz w:val="24"/>
          <w:szCs w:val="24"/>
          <w:highlight w:val="none"/>
        </w:rPr>
        <w:t>.</w:t>
      </w:r>
      <w:r>
        <w:rPr>
          <w:rFonts w:hint="eastAsia" w:ascii="宋体" w:hAnsi="宋体"/>
          <w:sz w:val="24"/>
          <w:szCs w:val="24"/>
          <w:highlight w:val="none"/>
        </w:rPr>
        <w:t>成果及格式要求：按国家、省、市现行的技术规定执行；</w:t>
      </w:r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</w:p>
    <w:p>
      <w:pPr>
        <w:snapToGrid w:val="0"/>
        <w:spacing w:line="480" w:lineRule="exact"/>
        <w:textAlignment w:val="baseline"/>
        <w:outlineLvl w:val="1"/>
        <w:rPr>
          <w:rFonts w:ascii="宋体" w:hAnsi="宋体"/>
          <w:b/>
          <w:sz w:val="32"/>
          <w:szCs w:val="32"/>
          <w:highlight w:val="none"/>
        </w:rPr>
      </w:pPr>
      <w:bookmarkStart w:id="36" w:name="_Toc73037585"/>
      <w:bookmarkStart w:id="37" w:name="_Toc17688"/>
      <w:bookmarkStart w:id="38" w:name="_Toc16004"/>
      <w:r>
        <w:rPr>
          <w:rFonts w:hint="eastAsia" w:ascii="宋体" w:hAnsi="宋体"/>
          <w:b/>
          <w:sz w:val="32"/>
          <w:szCs w:val="32"/>
          <w:highlight w:val="none"/>
        </w:rPr>
        <w:t>七、</w:t>
      </w:r>
      <w:bookmarkEnd w:id="36"/>
      <w:r>
        <w:rPr>
          <w:rFonts w:hint="eastAsia" w:ascii="宋体" w:hAnsi="宋体"/>
          <w:b/>
          <w:sz w:val="32"/>
          <w:szCs w:val="32"/>
          <w:highlight w:val="none"/>
        </w:rPr>
        <w:t>设计成果与进度要求</w:t>
      </w:r>
      <w:bookmarkEnd w:id="37"/>
      <w:bookmarkEnd w:id="38"/>
    </w:p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1.按照规定</w:t>
      </w:r>
      <w:r>
        <w:rPr>
          <w:sz w:val="24"/>
          <w:szCs w:val="24"/>
          <w:highlight w:val="none"/>
        </w:rPr>
        <w:t>及要求，满足编制深度要求。</w:t>
      </w:r>
      <w:r>
        <w:rPr>
          <w:rFonts w:hint="eastAsia"/>
          <w:sz w:val="24"/>
          <w:szCs w:val="24"/>
          <w:highlight w:val="none"/>
        </w:rPr>
        <w:t>本项目自合同生效之日开始，具体进度如下（本时间不含汇报等待时间）：</w:t>
      </w:r>
    </w:p>
    <w:tbl>
      <w:tblPr>
        <w:tblStyle w:val="3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008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工作阶段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成果提交时间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初步方案阶段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编制初步方案成果，时间30个工作日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中间成果阶段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根据委托人部门审查资料修改完善成果，时间20</w:t>
            </w:r>
            <w:r>
              <w:rPr>
                <w:rFonts w:hint="eastAsia"/>
                <w:sz w:val="24"/>
                <w:szCs w:val="24"/>
                <w:highlight w:val="none"/>
              </w:rPr>
              <w:t>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专家评审阶段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根据委托人部门审查资料修改完善，形成专家评审方案成果，时间20</w:t>
            </w:r>
            <w:r>
              <w:rPr>
                <w:rFonts w:hint="eastAsia"/>
                <w:sz w:val="24"/>
                <w:szCs w:val="24"/>
                <w:highlight w:val="none"/>
              </w:rPr>
              <w:t>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上报成果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根据专家资料修改完善，向政府各职能部门进行沟通汇报，依据审批</w:t>
            </w:r>
            <w:r>
              <w:rPr>
                <w:sz w:val="24"/>
                <w:szCs w:val="24"/>
                <w:highlight w:val="none"/>
              </w:rPr>
              <w:t>进度（如有），按照阶段</w:t>
            </w:r>
            <w:r>
              <w:rPr>
                <w:rFonts w:hint="eastAsia"/>
                <w:sz w:val="24"/>
                <w:szCs w:val="24"/>
                <w:highlight w:val="none"/>
              </w:rPr>
              <w:t>修改并于20个工作日完成送审成果；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最终成果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依据各职能部门修改资料完善形成最终成果，于20个工作日内完成最终成果</w:t>
            </w:r>
          </w:p>
        </w:tc>
      </w:tr>
    </w:tbl>
    <w:p>
      <w:pPr>
        <w:snapToGrid w:val="0"/>
        <w:ind w:firstLine="424" w:firstLineChars="177"/>
        <w:textAlignment w:val="baseline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2.成果</w:t>
      </w:r>
      <w:r>
        <w:rPr>
          <w:sz w:val="24"/>
          <w:szCs w:val="24"/>
          <w:highlight w:val="none"/>
        </w:rPr>
        <w:t>要求</w:t>
      </w:r>
      <w:r>
        <w:rPr>
          <w:rFonts w:hint="eastAsia"/>
          <w:sz w:val="24"/>
          <w:szCs w:val="24"/>
          <w:highlight w:val="none"/>
        </w:rPr>
        <w:t>按照</w:t>
      </w:r>
      <w:r>
        <w:rPr>
          <w:sz w:val="24"/>
          <w:szCs w:val="24"/>
          <w:highlight w:val="none"/>
        </w:rPr>
        <w:t>如下</w:t>
      </w:r>
      <w:r>
        <w:rPr>
          <w:rFonts w:hint="eastAsia"/>
          <w:sz w:val="24"/>
          <w:szCs w:val="24"/>
          <w:highlight w:val="none"/>
        </w:rPr>
        <w:t>要求提供</w:t>
      </w:r>
      <w:r>
        <w:rPr>
          <w:sz w:val="24"/>
          <w:szCs w:val="24"/>
          <w:highlight w:val="none"/>
        </w:rPr>
        <w:t>：</w:t>
      </w:r>
    </w:p>
    <w:tbl>
      <w:tblPr>
        <w:tblStyle w:val="31"/>
        <w:tblW w:w="5468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6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3" w:type="pct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具体内容</w:t>
            </w:r>
          </w:p>
        </w:tc>
        <w:tc>
          <w:tcPr>
            <w:tcW w:w="1327" w:type="pct"/>
            <w:vAlign w:val="center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提交方式及要求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3" w:type="pct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技术文件：</w:t>
            </w:r>
          </w:p>
          <w:p>
            <w:pPr>
              <w:pStyle w:val="70"/>
              <w:numPr>
                <w:ilvl w:val="0"/>
                <w:numId w:val="1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片区规划设计研究报告</w:t>
            </w:r>
          </w:p>
          <w:p>
            <w:pPr>
              <w:numPr>
                <w:ilvl w:val="0"/>
                <w:numId w:val="1"/>
              </w:num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交通研究报告</w:t>
            </w:r>
          </w:p>
          <w:p>
            <w:pPr>
              <w:numPr>
                <w:ilvl w:val="0"/>
                <w:numId w:val="1"/>
              </w:num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核心区建筑</w:t>
            </w:r>
            <w:r>
              <w:rPr>
                <w:sz w:val="24"/>
                <w:szCs w:val="24"/>
                <w:highlight w:val="none"/>
              </w:rPr>
              <w:t>概念设计成果报告</w:t>
            </w:r>
          </w:p>
          <w:p>
            <w:pPr>
              <w:pStyle w:val="70"/>
              <w:numPr>
                <w:ilvl w:val="0"/>
                <w:numId w:val="1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技术图纸（以实际要求为准）</w:t>
            </w: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区域位置图（组图）</w:t>
            </w:r>
            <w:r>
              <w:rPr>
                <w:rFonts w:hint="eastAsia"/>
                <w:sz w:val="24"/>
                <w:szCs w:val="24"/>
                <w:highlight w:val="none"/>
              </w:rPr>
              <w:t>、</w:t>
            </w:r>
            <w:r>
              <w:rPr>
                <w:rFonts w:cs="仿宋"/>
                <w:sz w:val="24"/>
                <w:szCs w:val="24"/>
                <w:highlight w:val="none"/>
              </w:rPr>
              <w:t>现状分析图（组图</w:t>
            </w:r>
            <w:r>
              <w:rPr>
                <w:rFonts w:hint="eastAsia" w:cs="仿宋"/>
                <w:sz w:val="24"/>
                <w:szCs w:val="24"/>
                <w:highlight w:val="none"/>
              </w:rPr>
              <w:t>）、</w:t>
            </w:r>
            <w:r>
              <w:rPr>
                <w:rFonts w:cs="仿宋"/>
                <w:sz w:val="24"/>
                <w:szCs w:val="24"/>
                <w:highlight w:val="none"/>
              </w:rPr>
              <w:t>土地与建筑物核查成果图（组图）</w:t>
            </w:r>
            <w:r>
              <w:rPr>
                <w:rFonts w:hint="eastAsia" w:cs="仿宋"/>
                <w:sz w:val="24"/>
                <w:szCs w:val="24"/>
                <w:highlight w:val="none"/>
              </w:rPr>
              <w:t>、</w:t>
            </w:r>
            <w:r>
              <w:rPr>
                <w:rFonts w:cs="仿宋"/>
                <w:sz w:val="24"/>
                <w:szCs w:val="24"/>
                <w:highlight w:val="none"/>
              </w:rPr>
              <w:t>上层次规划图（组图）</w:t>
            </w:r>
            <w:r>
              <w:rPr>
                <w:rFonts w:hint="eastAsia"/>
                <w:sz w:val="24"/>
                <w:szCs w:val="24"/>
                <w:highlight w:val="none"/>
              </w:rPr>
              <w:t>、</w:t>
            </w:r>
            <w:r>
              <w:rPr>
                <w:rFonts w:cs="仿宋"/>
                <w:sz w:val="24"/>
                <w:szCs w:val="24"/>
                <w:highlight w:val="none"/>
              </w:rPr>
              <w:t>地块划分与指标控制图</w:t>
            </w:r>
            <w:r>
              <w:rPr>
                <w:rFonts w:hint="eastAsia"/>
                <w:sz w:val="24"/>
                <w:szCs w:val="24"/>
                <w:highlight w:val="none"/>
              </w:rPr>
              <w:t>、</w:t>
            </w:r>
            <w:r>
              <w:rPr>
                <w:sz w:val="24"/>
                <w:szCs w:val="24"/>
                <w:highlight w:val="none"/>
              </w:rPr>
              <w:t>城市设计分析图（组图）</w:t>
            </w:r>
            <w:r>
              <w:rPr>
                <w:rFonts w:hint="eastAsia"/>
                <w:sz w:val="24"/>
                <w:szCs w:val="24"/>
                <w:highlight w:val="none"/>
              </w:rPr>
              <w:t>、效果图（组图）、</w:t>
            </w:r>
            <w:r>
              <w:rPr>
                <w:rFonts w:cs="仿宋"/>
                <w:sz w:val="24"/>
                <w:szCs w:val="24"/>
                <w:highlight w:val="none"/>
              </w:rPr>
              <w:t>慢行系统示意图</w:t>
            </w:r>
            <w:r>
              <w:rPr>
                <w:rFonts w:hint="eastAsia" w:cs="仿宋"/>
                <w:sz w:val="24"/>
                <w:szCs w:val="24"/>
                <w:highlight w:val="none"/>
              </w:rPr>
              <w:t>、</w:t>
            </w:r>
            <w:r>
              <w:rPr>
                <w:sz w:val="24"/>
                <w:szCs w:val="24"/>
                <w:highlight w:val="none"/>
              </w:rPr>
              <w:t>建设用地空间控制图（组图）</w:t>
            </w:r>
            <w:r>
              <w:rPr>
                <w:rFonts w:hint="eastAsia"/>
                <w:sz w:val="24"/>
                <w:szCs w:val="24"/>
                <w:highlight w:val="none"/>
              </w:rPr>
              <w:t>、综合</w:t>
            </w:r>
            <w:r>
              <w:rPr>
                <w:sz w:val="24"/>
                <w:szCs w:val="24"/>
                <w:highlight w:val="none"/>
              </w:rPr>
              <w:t>交通规划图</w:t>
            </w:r>
            <w:r>
              <w:rPr>
                <w:rFonts w:hint="eastAsia"/>
                <w:sz w:val="24"/>
                <w:szCs w:val="24"/>
                <w:highlight w:val="none"/>
              </w:rPr>
              <w:t>、道路规划设计图，交通组织规划图（组图），道路横断面设计示意图，枢纽总体布局图、</w:t>
            </w:r>
            <w:r>
              <w:rPr>
                <w:rFonts w:cs="仿宋"/>
                <w:sz w:val="24"/>
                <w:szCs w:val="24"/>
                <w:highlight w:val="none"/>
              </w:rPr>
              <w:t>市政工程规划图（组图）</w:t>
            </w:r>
            <w:r>
              <w:rPr>
                <w:rFonts w:hint="eastAsia" w:cs="仿宋"/>
                <w:sz w:val="24"/>
                <w:szCs w:val="24"/>
                <w:highlight w:val="none"/>
              </w:rPr>
              <w:t>、</w:t>
            </w:r>
            <w:r>
              <w:rPr>
                <w:sz w:val="24"/>
                <w:szCs w:val="24"/>
                <w:highlight w:val="none"/>
              </w:rPr>
              <w:t>分期实施规划图（组图）</w:t>
            </w:r>
            <w:r>
              <w:rPr>
                <w:rFonts w:hint="eastAsia"/>
                <w:sz w:val="24"/>
                <w:szCs w:val="24"/>
                <w:highlight w:val="none"/>
              </w:rPr>
              <w:t>、</w:t>
            </w:r>
            <w:r>
              <w:rPr>
                <w:sz w:val="24"/>
                <w:szCs w:val="24"/>
                <w:highlight w:val="none"/>
              </w:rPr>
              <w:t>日照分析图</w:t>
            </w:r>
            <w:r>
              <w:rPr>
                <w:rFonts w:hint="eastAsia"/>
                <w:sz w:val="24"/>
                <w:szCs w:val="24"/>
                <w:highlight w:val="none"/>
              </w:rPr>
              <w:t>、规划总平面设计图，各层（包含地下空）建筑概念设计平面图（组图），核心区建筑概念设计剖面图（组图），核心区建筑概念设计效果图（组图），其他</w:t>
            </w:r>
            <w:r>
              <w:rPr>
                <w:sz w:val="24"/>
                <w:szCs w:val="24"/>
                <w:highlight w:val="none"/>
              </w:rPr>
              <w:t>概念设计要求图</w:t>
            </w:r>
            <w:r>
              <w:rPr>
                <w:rFonts w:hint="eastAsia"/>
                <w:sz w:val="24"/>
                <w:szCs w:val="24"/>
                <w:highlight w:val="none"/>
              </w:rPr>
              <w:t>纸及必要分析图纸等</w:t>
            </w:r>
          </w:p>
        </w:tc>
        <w:tc>
          <w:tcPr>
            <w:tcW w:w="1327" w:type="pct"/>
            <w:vMerge w:val="restart"/>
            <w:vAlign w:val="center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u w:val="single" w:color="000000"/>
              </w:rPr>
              <w:t>（上述约定</w:t>
            </w:r>
            <w:r>
              <w:rPr>
                <w:sz w:val="24"/>
                <w:szCs w:val="24"/>
                <w:highlight w:val="none"/>
                <w:u w:val="single" w:color="000000"/>
              </w:rPr>
              <w:t>的</w:t>
            </w:r>
            <w:r>
              <w:rPr>
                <w:rFonts w:hint="eastAsia"/>
                <w:sz w:val="24"/>
                <w:szCs w:val="24"/>
                <w:highlight w:val="none"/>
                <w:u w:val="single" w:color="000000"/>
              </w:rPr>
              <w:t>时间不包含法定节假日。各阶段成果提交时间视项目实际推进流程而定，可由甲乙双方商议确定）</w:t>
            </w: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咨询人提交正式成果</w:t>
            </w:r>
          </w:p>
          <w:p>
            <w:pPr>
              <w:pStyle w:val="66"/>
              <w:numPr>
                <w:ilvl w:val="0"/>
                <w:numId w:val="2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彩色图册8套；</w:t>
            </w:r>
          </w:p>
          <w:p>
            <w:pPr>
              <w:pStyle w:val="66"/>
              <w:numPr>
                <w:ilvl w:val="0"/>
                <w:numId w:val="2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PPT演示文件；</w:t>
            </w:r>
          </w:p>
          <w:p>
            <w:pPr>
              <w:pStyle w:val="66"/>
              <w:numPr>
                <w:ilvl w:val="0"/>
                <w:numId w:val="2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全部成果电子文件光盘2套；</w:t>
            </w:r>
          </w:p>
          <w:p>
            <w:pPr>
              <w:pStyle w:val="66"/>
              <w:numPr>
                <w:ilvl w:val="0"/>
                <w:numId w:val="2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宣传册8套</w:t>
            </w:r>
          </w:p>
          <w:p>
            <w:pPr>
              <w:pStyle w:val="66"/>
              <w:numPr>
                <w:ilvl w:val="0"/>
                <w:numId w:val="2"/>
              </w:numPr>
              <w:snapToGrid w:val="0"/>
              <w:spacing w:line="440" w:lineRule="exact"/>
              <w:ind w:firstLineChars="0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5-10分钟多媒体展示</w:t>
            </w: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/>
                <w:sz w:val="24"/>
                <w:szCs w:val="24"/>
                <w:highlight w:val="none"/>
                <w:u w:val="single" w:color="000000"/>
              </w:rPr>
              <w:t>各次政府审查会议所需方案册按会议要求由咨询人提供。</w:t>
            </w:r>
          </w:p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u w:val="single" w:color="000000"/>
              </w:rPr>
              <w:t>具体</w:t>
            </w:r>
            <w:r>
              <w:rPr>
                <w:sz w:val="24"/>
                <w:szCs w:val="24"/>
                <w:highlight w:val="none"/>
                <w:u w:val="single" w:color="000000"/>
              </w:rPr>
              <w:t>根据相关部门审批要求及最新的</w:t>
            </w:r>
            <w:r>
              <w:rPr>
                <w:rFonts w:hint="eastAsia"/>
                <w:sz w:val="24"/>
                <w:szCs w:val="24"/>
                <w:highlight w:val="none"/>
                <w:u w:val="single" w:color="000000"/>
              </w:rPr>
              <w:t>政策提供</w:t>
            </w:r>
            <w:r>
              <w:rPr>
                <w:sz w:val="24"/>
                <w:szCs w:val="24"/>
                <w:highlight w:val="none"/>
                <w:u w:val="single" w:color="000000"/>
              </w:rPr>
              <w:t>相关技术内容。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3" w:type="pct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</w:tc>
        <w:tc>
          <w:tcPr>
            <w:tcW w:w="1327" w:type="pct"/>
            <w:vMerge w:val="continue"/>
          </w:tcPr>
          <w:p>
            <w:pPr>
              <w:snapToGrid w:val="0"/>
              <w:spacing w:line="440" w:lineRule="exact"/>
              <w:jc w:val="left"/>
              <w:textAlignment w:val="baseline"/>
              <w:rPr>
                <w:sz w:val="24"/>
                <w:szCs w:val="24"/>
                <w:highlight w:val="none"/>
              </w:rPr>
            </w:pPr>
          </w:p>
        </w:tc>
      </w:tr>
    </w:tbl>
    <w:p>
      <w:pPr>
        <w:snapToGrid w:val="0"/>
        <w:textAlignment w:val="baseline"/>
        <w:rPr>
          <w:sz w:val="24"/>
          <w:szCs w:val="24"/>
          <w:highlight w:val="none"/>
        </w:rPr>
      </w:pPr>
    </w:p>
    <w:p>
      <w:pPr>
        <w:widowControl/>
        <w:snapToGrid w:val="0"/>
        <w:jc w:val="left"/>
        <w:textAlignment w:val="baseline"/>
        <w:rPr>
          <w:b/>
          <w:sz w:val="24"/>
          <w:szCs w:val="24"/>
          <w:highlight w:val="none"/>
        </w:rPr>
      </w:pPr>
    </w:p>
    <w:p>
      <w:pPr>
        <w:widowControl/>
        <w:snapToGrid w:val="0"/>
        <w:jc w:val="left"/>
        <w:textAlignment w:val="baseline"/>
        <w:rPr>
          <w:b/>
          <w:sz w:val="24"/>
          <w:szCs w:val="24"/>
          <w:highlight w:val="none"/>
        </w:rPr>
      </w:pPr>
    </w:p>
    <w:p>
      <w:pPr>
        <w:pStyle w:val="2"/>
        <w:snapToGrid w:val="0"/>
        <w:rPr>
          <w:b/>
          <w:sz w:val="24"/>
          <w:szCs w:val="24"/>
          <w:highlight w:val="none"/>
        </w:rPr>
      </w:pPr>
    </w:p>
    <w:p>
      <w:pPr>
        <w:pStyle w:val="2"/>
        <w:snapToGrid w:val="0"/>
        <w:rPr>
          <w:b/>
          <w:sz w:val="24"/>
          <w:szCs w:val="24"/>
          <w:highlight w:val="none"/>
        </w:rPr>
      </w:pPr>
    </w:p>
    <w:p>
      <w:pPr>
        <w:pStyle w:val="2"/>
        <w:snapToGrid w:val="0"/>
        <w:rPr>
          <w:b/>
          <w:sz w:val="24"/>
          <w:szCs w:val="24"/>
          <w:highlight w:val="none"/>
        </w:rPr>
      </w:pPr>
    </w:p>
    <w:p>
      <w:pPr>
        <w:pStyle w:val="2"/>
        <w:snapToGrid w:val="0"/>
        <w:rPr>
          <w:b/>
          <w:sz w:val="24"/>
          <w:szCs w:val="24"/>
          <w:highlight w:val="none"/>
        </w:rPr>
      </w:pPr>
    </w:p>
    <w:bookmarkEnd w:id="5"/>
    <w:p>
      <w:pPr>
        <w:rPr>
          <w:b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pict>
        <v:shape id="文本框 6" o:spid="_x0000_s4097" o:spt="202" type="#_x0000_t202" style="position:absolute;left:0pt;margin-top:0pt;height:22.4pt;width:13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PUgCLSAAAAAwEAAA8AAAAAAAAAAQAgAAAAIgAAAGRycy9kb3ducmV2LnhtbFBL&#10;AQIUABQAAAAIAIdO4kCAtxBDNQIAAGEEAAAOAAAAAAAAAAEAIAAAACEBAABkcnMvZTJvRG9jLnht&#10;bFBLBQYAAAAABgAGAFkBAADI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24564781"/>
                </w:sdtPr>
                <w:sdtContent>
                  <w:p>
                    <w:pPr>
                      <w:pStyle w:val="20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20"/>
      <w:ind w:right="357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left="88" w:hanging="88" w:hangingChars="49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DE5D16"/>
    <w:multiLevelType w:val="multilevel"/>
    <w:tmpl w:val="1EDE5D1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4538B9"/>
    <w:multiLevelType w:val="multilevel"/>
    <w:tmpl w:val="274538B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6AA4"/>
    <w:rsid w:val="00002B82"/>
    <w:rsid w:val="00006576"/>
    <w:rsid w:val="00007568"/>
    <w:rsid w:val="00007D8C"/>
    <w:rsid w:val="00010189"/>
    <w:rsid w:val="00013A2B"/>
    <w:rsid w:val="00013F23"/>
    <w:rsid w:val="00016666"/>
    <w:rsid w:val="00020058"/>
    <w:rsid w:val="00021B9B"/>
    <w:rsid w:val="000241B3"/>
    <w:rsid w:val="000301C6"/>
    <w:rsid w:val="00032C49"/>
    <w:rsid w:val="000358DF"/>
    <w:rsid w:val="00046927"/>
    <w:rsid w:val="0005196E"/>
    <w:rsid w:val="00055911"/>
    <w:rsid w:val="0005606B"/>
    <w:rsid w:val="000567EF"/>
    <w:rsid w:val="0005731C"/>
    <w:rsid w:val="00057F37"/>
    <w:rsid w:val="00062567"/>
    <w:rsid w:val="0006404C"/>
    <w:rsid w:val="00067FAC"/>
    <w:rsid w:val="00072073"/>
    <w:rsid w:val="0007353B"/>
    <w:rsid w:val="00074F37"/>
    <w:rsid w:val="00076326"/>
    <w:rsid w:val="00077AD8"/>
    <w:rsid w:val="00080FAB"/>
    <w:rsid w:val="0008301B"/>
    <w:rsid w:val="000850E3"/>
    <w:rsid w:val="00085756"/>
    <w:rsid w:val="000871E4"/>
    <w:rsid w:val="000875CE"/>
    <w:rsid w:val="00087942"/>
    <w:rsid w:val="000879A7"/>
    <w:rsid w:val="000921E0"/>
    <w:rsid w:val="000939F6"/>
    <w:rsid w:val="00094BC4"/>
    <w:rsid w:val="00094D94"/>
    <w:rsid w:val="0009574F"/>
    <w:rsid w:val="00096D6B"/>
    <w:rsid w:val="00097C33"/>
    <w:rsid w:val="000A279B"/>
    <w:rsid w:val="000A7969"/>
    <w:rsid w:val="000B3770"/>
    <w:rsid w:val="000B4FCD"/>
    <w:rsid w:val="000C0AA1"/>
    <w:rsid w:val="000C2E7C"/>
    <w:rsid w:val="000C5604"/>
    <w:rsid w:val="000C77DB"/>
    <w:rsid w:val="000D0DA0"/>
    <w:rsid w:val="000D14E3"/>
    <w:rsid w:val="000D4355"/>
    <w:rsid w:val="000D6DA7"/>
    <w:rsid w:val="000E1AD4"/>
    <w:rsid w:val="000E2D43"/>
    <w:rsid w:val="000E304D"/>
    <w:rsid w:val="000E315B"/>
    <w:rsid w:val="000E3272"/>
    <w:rsid w:val="000E38D9"/>
    <w:rsid w:val="000E6F1C"/>
    <w:rsid w:val="000E7753"/>
    <w:rsid w:val="000F2044"/>
    <w:rsid w:val="000F4F35"/>
    <w:rsid w:val="00100F22"/>
    <w:rsid w:val="0010400E"/>
    <w:rsid w:val="00104147"/>
    <w:rsid w:val="00104889"/>
    <w:rsid w:val="001049EF"/>
    <w:rsid w:val="00104B59"/>
    <w:rsid w:val="00107E63"/>
    <w:rsid w:val="001117EA"/>
    <w:rsid w:val="001135C3"/>
    <w:rsid w:val="00116A38"/>
    <w:rsid w:val="001271BE"/>
    <w:rsid w:val="00132818"/>
    <w:rsid w:val="00132B80"/>
    <w:rsid w:val="00133BDC"/>
    <w:rsid w:val="00133E38"/>
    <w:rsid w:val="001355F9"/>
    <w:rsid w:val="00137FD6"/>
    <w:rsid w:val="00143E39"/>
    <w:rsid w:val="00147BBC"/>
    <w:rsid w:val="00147EC1"/>
    <w:rsid w:val="0015113D"/>
    <w:rsid w:val="00156C0D"/>
    <w:rsid w:val="00161132"/>
    <w:rsid w:val="001622B1"/>
    <w:rsid w:val="00162909"/>
    <w:rsid w:val="001705A1"/>
    <w:rsid w:val="00170DDD"/>
    <w:rsid w:val="00171982"/>
    <w:rsid w:val="001722D7"/>
    <w:rsid w:val="00172EF6"/>
    <w:rsid w:val="00173E9A"/>
    <w:rsid w:val="00180DAF"/>
    <w:rsid w:val="00180ECB"/>
    <w:rsid w:val="001832CE"/>
    <w:rsid w:val="001840D2"/>
    <w:rsid w:val="00185AA9"/>
    <w:rsid w:val="00190096"/>
    <w:rsid w:val="00191DDD"/>
    <w:rsid w:val="00194F91"/>
    <w:rsid w:val="00196385"/>
    <w:rsid w:val="001A0E51"/>
    <w:rsid w:val="001A1A56"/>
    <w:rsid w:val="001A3410"/>
    <w:rsid w:val="001A3E6D"/>
    <w:rsid w:val="001A3E80"/>
    <w:rsid w:val="001A6F58"/>
    <w:rsid w:val="001B00E0"/>
    <w:rsid w:val="001B640D"/>
    <w:rsid w:val="001B6543"/>
    <w:rsid w:val="001B66E0"/>
    <w:rsid w:val="001B77D8"/>
    <w:rsid w:val="001C0648"/>
    <w:rsid w:val="001C18AD"/>
    <w:rsid w:val="001C6BA0"/>
    <w:rsid w:val="001C7286"/>
    <w:rsid w:val="001D0CA1"/>
    <w:rsid w:val="001D12F7"/>
    <w:rsid w:val="001D4464"/>
    <w:rsid w:val="001D511E"/>
    <w:rsid w:val="001E2FE4"/>
    <w:rsid w:val="001E5946"/>
    <w:rsid w:val="001E6671"/>
    <w:rsid w:val="001F2523"/>
    <w:rsid w:val="001F2B56"/>
    <w:rsid w:val="001F3DE7"/>
    <w:rsid w:val="001F619E"/>
    <w:rsid w:val="002014C0"/>
    <w:rsid w:val="00202D0F"/>
    <w:rsid w:val="00205461"/>
    <w:rsid w:val="00206AA4"/>
    <w:rsid w:val="00207419"/>
    <w:rsid w:val="00212D03"/>
    <w:rsid w:val="002138A3"/>
    <w:rsid w:val="00214877"/>
    <w:rsid w:val="002170BD"/>
    <w:rsid w:val="00221829"/>
    <w:rsid w:val="00222BA6"/>
    <w:rsid w:val="00224AA2"/>
    <w:rsid w:val="00234B5D"/>
    <w:rsid w:val="00234C66"/>
    <w:rsid w:val="00235D18"/>
    <w:rsid w:val="00236F67"/>
    <w:rsid w:val="002372D1"/>
    <w:rsid w:val="00241B62"/>
    <w:rsid w:val="00245D5F"/>
    <w:rsid w:val="00245D6E"/>
    <w:rsid w:val="00246F28"/>
    <w:rsid w:val="00253649"/>
    <w:rsid w:val="00261325"/>
    <w:rsid w:val="0026164B"/>
    <w:rsid w:val="00275578"/>
    <w:rsid w:val="00275EE9"/>
    <w:rsid w:val="00284C62"/>
    <w:rsid w:val="002850EC"/>
    <w:rsid w:val="00290962"/>
    <w:rsid w:val="00292EA0"/>
    <w:rsid w:val="002973BF"/>
    <w:rsid w:val="00297DA7"/>
    <w:rsid w:val="002A1322"/>
    <w:rsid w:val="002A1578"/>
    <w:rsid w:val="002A31F0"/>
    <w:rsid w:val="002A46E4"/>
    <w:rsid w:val="002A5DC4"/>
    <w:rsid w:val="002A6234"/>
    <w:rsid w:val="002B3118"/>
    <w:rsid w:val="002B6A6B"/>
    <w:rsid w:val="002B74E5"/>
    <w:rsid w:val="002C0D5A"/>
    <w:rsid w:val="002C4977"/>
    <w:rsid w:val="002C49F2"/>
    <w:rsid w:val="002D0494"/>
    <w:rsid w:val="002D5D7E"/>
    <w:rsid w:val="002D72E1"/>
    <w:rsid w:val="002D798C"/>
    <w:rsid w:val="002E56C4"/>
    <w:rsid w:val="002F0883"/>
    <w:rsid w:val="002F1E4F"/>
    <w:rsid w:val="002F2C97"/>
    <w:rsid w:val="002F533B"/>
    <w:rsid w:val="00301390"/>
    <w:rsid w:val="003031E6"/>
    <w:rsid w:val="00303E39"/>
    <w:rsid w:val="00306ADE"/>
    <w:rsid w:val="003108FE"/>
    <w:rsid w:val="00320F48"/>
    <w:rsid w:val="0032266F"/>
    <w:rsid w:val="003238F1"/>
    <w:rsid w:val="00325C60"/>
    <w:rsid w:val="00326B0E"/>
    <w:rsid w:val="00332FDE"/>
    <w:rsid w:val="00334D91"/>
    <w:rsid w:val="00343ACE"/>
    <w:rsid w:val="003440FB"/>
    <w:rsid w:val="00344867"/>
    <w:rsid w:val="00344D8A"/>
    <w:rsid w:val="00345B5E"/>
    <w:rsid w:val="003532B4"/>
    <w:rsid w:val="0035741F"/>
    <w:rsid w:val="00357E76"/>
    <w:rsid w:val="0036123B"/>
    <w:rsid w:val="0036545F"/>
    <w:rsid w:val="00365AB1"/>
    <w:rsid w:val="003666AC"/>
    <w:rsid w:val="003813A5"/>
    <w:rsid w:val="003819A0"/>
    <w:rsid w:val="0038332B"/>
    <w:rsid w:val="00393D1A"/>
    <w:rsid w:val="003A0891"/>
    <w:rsid w:val="003A6B89"/>
    <w:rsid w:val="003B1095"/>
    <w:rsid w:val="003B1510"/>
    <w:rsid w:val="003B1C1F"/>
    <w:rsid w:val="003B55BA"/>
    <w:rsid w:val="003B5676"/>
    <w:rsid w:val="003B7E6F"/>
    <w:rsid w:val="003D1E35"/>
    <w:rsid w:val="003D2519"/>
    <w:rsid w:val="003E1AE1"/>
    <w:rsid w:val="003E5067"/>
    <w:rsid w:val="003E7188"/>
    <w:rsid w:val="003F7726"/>
    <w:rsid w:val="00402192"/>
    <w:rsid w:val="004038ED"/>
    <w:rsid w:val="00404F38"/>
    <w:rsid w:val="00406137"/>
    <w:rsid w:val="004125BA"/>
    <w:rsid w:val="0041355B"/>
    <w:rsid w:val="00414EC4"/>
    <w:rsid w:val="004166F3"/>
    <w:rsid w:val="00420EEE"/>
    <w:rsid w:val="00422F02"/>
    <w:rsid w:val="004271EF"/>
    <w:rsid w:val="00427242"/>
    <w:rsid w:val="0042751A"/>
    <w:rsid w:val="00427593"/>
    <w:rsid w:val="00431484"/>
    <w:rsid w:val="0043205F"/>
    <w:rsid w:val="00432C09"/>
    <w:rsid w:val="00432DC6"/>
    <w:rsid w:val="004340CF"/>
    <w:rsid w:val="004342B4"/>
    <w:rsid w:val="00441D40"/>
    <w:rsid w:val="00442FC4"/>
    <w:rsid w:val="00443C17"/>
    <w:rsid w:val="004454FF"/>
    <w:rsid w:val="004464D2"/>
    <w:rsid w:val="00450CD8"/>
    <w:rsid w:val="0045416A"/>
    <w:rsid w:val="004561D5"/>
    <w:rsid w:val="00460616"/>
    <w:rsid w:val="004633C6"/>
    <w:rsid w:val="004659C4"/>
    <w:rsid w:val="0047016E"/>
    <w:rsid w:val="00483AD3"/>
    <w:rsid w:val="00484356"/>
    <w:rsid w:val="00484579"/>
    <w:rsid w:val="004869BB"/>
    <w:rsid w:val="004914F1"/>
    <w:rsid w:val="004925EB"/>
    <w:rsid w:val="004977B4"/>
    <w:rsid w:val="00497C9D"/>
    <w:rsid w:val="00497F59"/>
    <w:rsid w:val="004A358A"/>
    <w:rsid w:val="004A3F69"/>
    <w:rsid w:val="004A52E8"/>
    <w:rsid w:val="004B065F"/>
    <w:rsid w:val="004B0AE6"/>
    <w:rsid w:val="004B24A1"/>
    <w:rsid w:val="004C028B"/>
    <w:rsid w:val="004C6DC8"/>
    <w:rsid w:val="004D4654"/>
    <w:rsid w:val="004E5133"/>
    <w:rsid w:val="004F2E64"/>
    <w:rsid w:val="004F30D6"/>
    <w:rsid w:val="004F4F50"/>
    <w:rsid w:val="005021DF"/>
    <w:rsid w:val="0050220A"/>
    <w:rsid w:val="00502F2D"/>
    <w:rsid w:val="00506903"/>
    <w:rsid w:val="00506D21"/>
    <w:rsid w:val="00510491"/>
    <w:rsid w:val="00511F98"/>
    <w:rsid w:val="00515DE1"/>
    <w:rsid w:val="0051750A"/>
    <w:rsid w:val="0052158B"/>
    <w:rsid w:val="00524503"/>
    <w:rsid w:val="00524E60"/>
    <w:rsid w:val="00525A7F"/>
    <w:rsid w:val="005308C8"/>
    <w:rsid w:val="00533E12"/>
    <w:rsid w:val="00534036"/>
    <w:rsid w:val="0054082C"/>
    <w:rsid w:val="00540EC1"/>
    <w:rsid w:val="005436C4"/>
    <w:rsid w:val="005468B2"/>
    <w:rsid w:val="005473DF"/>
    <w:rsid w:val="00555929"/>
    <w:rsid w:val="00555D6D"/>
    <w:rsid w:val="0055685C"/>
    <w:rsid w:val="00562CE0"/>
    <w:rsid w:val="005671B5"/>
    <w:rsid w:val="00567A9F"/>
    <w:rsid w:val="005711FE"/>
    <w:rsid w:val="00572726"/>
    <w:rsid w:val="00574C7E"/>
    <w:rsid w:val="005754B2"/>
    <w:rsid w:val="00575EDD"/>
    <w:rsid w:val="0057612F"/>
    <w:rsid w:val="00583054"/>
    <w:rsid w:val="0058684C"/>
    <w:rsid w:val="00590952"/>
    <w:rsid w:val="00594104"/>
    <w:rsid w:val="00594B8D"/>
    <w:rsid w:val="00596135"/>
    <w:rsid w:val="00596DC1"/>
    <w:rsid w:val="00597973"/>
    <w:rsid w:val="00597DD1"/>
    <w:rsid w:val="005A2359"/>
    <w:rsid w:val="005A3DDE"/>
    <w:rsid w:val="005A7983"/>
    <w:rsid w:val="005A7DD2"/>
    <w:rsid w:val="005B1FCA"/>
    <w:rsid w:val="005B23FC"/>
    <w:rsid w:val="005B3540"/>
    <w:rsid w:val="005B4AAA"/>
    <w:rsid w:val="005B4BB7"/>
    <w:rsid w:val="005B6F46"/>
    <w:rsid w:val="005C6836"/>
    <w:rsid w:val="005D0D5E"/>
    <w:rsid w:val="005D2B5F"/>
    <w:rsid w:val="005D2EFC"/>
    <w:rsid w:val="005D3CBC"/>
    <w:rsid w:val="005D69EF"/>
    <w:rsid w:val="005E0C9F"/>
    <w:rsid w:val="005E1310"/>
    <w:rsid w:val="005E17FF"/>
    <w:rsid w:val="005E3055"/>
    <w:rsid w:val="005E600E"/>
    <w:rsid w:val="005E6150"/>
    <w:rsid w:val="005F2F2D"/>
    <w:rsid w:val="005F3CAB"/>
    <w:rsid w:val="005F4340"/>
    <w:rsid w:val="005F6268"/>
    <w:rsid w:val="00606520"/>
    <w:rsid w:val="00610CA2"/>
    <w:rsid w:val="00611880"/>
    <w:rsid w:val="00611A4C"/>
    <w:rsid w:val="00613B21"/>
    <w:rsid w:val="00620888"/>
    <w:rsid w:val="00621E46"/>
    <w:rsid w:val="00623EF9"/>
    <w:rsid w:val="00636BD0"/>
    <w:rsid w:val="00636D35"/>
    <w:rsid w:val="00640D6B"/>
    <w:rsid w:val="00641339"/>
    <w:rsid w:val="006449E3"/>
    <w:rsid w:val="006514B3"/>
    <w:rsid w:val="0065203E"/>
    <w:rsid w:val="00652479"/>
    <w:rsid w:val="006564AE"/>
    <w:rsid w:val="006610C4"/>
    <w:rsid w:val="00663BC5"/>
    <w:rsid w:val="0066522D"/>
    <w:rsid w:val="0067401C"/>
    <w:rsid w:val="006761F4"/>
    <w:rsid w:val="006765A2"/>
    <w:rsid w:val="00682AE0"/>
    <w:rsid w:val="006847D1"/>
    <w:rsid w:val="0068722E"/>
    <w:rsid w:val="00695038"/>
    <w:rsid w:val="006A1DB3"/>
    <w:rsid w:val="006A1E2E"/>
    <w:rsid w:val="006A2325"/>
    <w:rsid w:val="006A50E1"/>
    <w:rsid w:val="006A636E"/>
    <w:rsid w:val="006A7662"/>
    <w:rsid w:val="006B1DE5"/>
    <w:rsid w:val="006B3478"/>
    <w:rsid w:val="006B7FC9"/>
    <w:rsid w:val="006C2564"/>
    <w:rsid w:val="006C5B4D"/>
    <w:rsid w:val="006D04C3"/>
    <w:rsid w:val="006D11E6"/>
    <w:rsid w:val="006D1DCA"/>
    <w:rsid w:val="006D69EF"/>
    <w:rsid w:val="006E0804"/>
    <w:rsid w:val="006E1518"/>
    <w:rsid w:val="006E4EDF"/>
    <w:rsid w:val="006E66A2"/>
    <w:rsid w:val="006E6BC3"/>
    <w:rsid w:val="006E6C68"/>
    <w:rsid w:val="006E6E7E"/>
    <w:rsid w:val="006E7BAA"/>
    <w:rsid w:val="006F24BD"/>
    <w:rsid w:val="006F65A7"/>
    <w:rsid w:val="007048E9"/>
    <w:rsid w:val="00713D19"/>
    <w:rsid w:val="00713D7E"/>
    <w:rsid w:val="0072391F"/>
    <w:rsid w:val="00723E13"/>
    <w:rsid w:val="00724AFC"/>
    <w:rsid w:val="007347E2"/>
    <w:rsid w:val="00735F14"/>
    <w:rsid w:val="00737D73"/>
    <w:rsid w:val="00741360"/>
    <w:rsid w:val="00744D6D"/>
    <w:rsid w:val="00745DC0"/>
    <w:rsid w:val="00754D11"/>
    <w:rsid w:val="00756E6A"/>
    <w:rsid w:val="0076068F"/>
    <w:rsid w:val="00761DBB"/>
    <w:rsid w:val="007625E0"/>
    <w:rsid w:val="00773A85"/>
    <w:rsid w:val="00777391"/>
    <w:rsid w:val="00780AA2"/>
    <w:rsid w:val="00784FD4"/>
    <w:rsid w:val="007917F0"/>
    <w:rsid w:val="00792EA0"/>
    <w:rsid w:val="007931FF"/>
    <w:rsid w:val="00794158"/>
    <w:rsid w:val="00795927"/>
    <w:rsid w:val="00797187"/>
    <w:rsid w:val="00797495"/>
    <w:rsid w:val="00797496"/>
    <w:rsid w:val="007A1609"/>
    <w:rsid w:val="007A4399"/>
    <w:rsid w:val="007A4F52"/>
    <w:rsid w:val="007B0D58"/>
    <w:rsid w:val="007B11C2"/>
    <w:rsid w:val="007B1359"/>
    <w:rsid w:val="007B3825"/>
    <w:rsid w:val="007B3A75"/>
    <w:rsid w:val="007B6C02"/>
    <w:rsid w:val="007C3AE1"/>
    <w:rsid w:val="007C46A3"/>
    <w:rsid w:val="007D18EE"/>
    <w:rsid w:val="007D3C09"/>
    <w:rsid w:val="007E1AFD"/>
    <w:rsid w:val="007E4C37"/>
    <w:rsid w:val="007E4DCC"/>
    <w:rsid w:val="007E6307"/>
    <w:rsid w:val="007F03E7"/>
    <w:rsid w:val="007F35BB"/>
    <w:rsid w:val="007F5899"/>
    <w:rsid w:val="007F6477"/>
    <w:rsid w:val="007F676D"/>
    <w:rsid w:val="007F6CFF"/>
    <w:rsid w:val="00803A19"/>
    <w:rsid w:val="00804D5C"/>
    <w:rsid w:val="00812843"/>
    <w:rsid w:val="00815C6C"/>
    <w:rsid w:val="00815DB4"/>
    <w:rsid w:val="00816381"/>
    <w:rsid w:val="00816D95"/>
    <w:rsid w:val="0081725C"/>
    <w:rsid w:val="008252E7"/>
    <w:rsid w:val="00825426"/>
    <w:rsid w:val="0083136C"/>
    <w:rsid w:val="008327C6"/>
    <w:rsid w:val="008340D8"/>
    <w:rsid w:val="00834A1D"/>
    <w:rsid w:val="00834ACC"/>
    <w:rsid w:val="00837DCE"/>
    <w:rsid w:val="00840C23"/>
    <w:rsid w:val="00841935"/>
    <w:rsid w:val="008425B1"/>
    <w:rsid w:val="00845193"/>
    <w:rsid w:val="00852230"/>
    <w:rsid w:val="00852E14"/>
    <w:rsid w:val="00855BAF"/>
    <w:rsid w:val="0085780E"/>
    <w:rsid w:val="00861E93"/>
    <w:rsid w:val="008636D2"/>
    <w:rsid w:val="008636E7"/>
    <w:rsid w:val="00872AAA"/>
    <w:rsid w:val="00875C70"/>
    <w:rsid w:val="00876292"/>
    <w:rsid w:val="00876BE0"/>
    <w:rsid w:val="008813F8"/>
    <w:rsid w:val="00881735"/>
    <w:rsid w:val="008903D9"/>
    <w:rsid w:val="00890434"/>
    <w:rsid w:val="00891CE0"/>
    <w:rsid w:val="00896AE9"/>
    <w:rsid w:val="008A01DF"/>
    <w:rsid w:val="008A08F9"/>
    <w:rsid w:val="008A3571"/>
    <w:rsid w:val="008A558E"/>
    <w:rsid w:val="008A6A0B"/>
    <w:rsid w:val="008A6B38"/>
    <w:rsid w:val="008A7F41"/>
    <w:rsid w:val="008B5EFA"/>
    <w:rsid w:val="008B616E"/>
    <w:rsid w:val="008C0FFA"/>
    <w:rsid w:val="008C434C"/>
    <w:rsid w:val="008C7310"/>
    <w:rsid w:val="008C7632"/>
    <w:rsid w:val="008D18A8"/>
    <w:rsid w:val="008D1965"/>
    <w:rsid w:val="008D2841"/>
    <w:rsid w:val="008D30FE"/>
    <w:rsid w:val="008D465D"/>
    <w:rsid w:val="008E03B9"/>
    <w:rsid w:val="008E0C5E"/>
    <w:rsid w:val="008E0EC8"/>
    <w:rsid w:val="008E0EDC"/>
    <w:rsid w:val="008E2C88"/>
    <w:rsid w:val="008E3E44"/>
    <w:rsid w:val="008E4C6F"/>
    <w:rsid w:val="008F084C"/>
    <w:rsid w:val="008F2849"/>
    <w:rsid w:val="008F4C77"/>
    <w:rsid w:val="0090060E"/>
    <w:rsid w:val="00901B76"/>
    <w:rsid w:val="0090423A"/>
    <w:rsid w:val="009058BD"/>
    <w:rsid w:val="00906A00"/>
    <w:rsid w:val="00907940"/>
    <w:rsid w:val="00912316"/>
    <w:rsid w:val="00912B67"/>
    <w:rsid w:val="00914E88"/>
    <w:rsid w:val="00922549"/>
    <w:rsid w:val="009241A3"/>
    <w:rsid w:val="00925780"/>
    <w:rsid w:val="00926D28"/>
    <w:rsid w:val="00936DD8"/>
    <w:rsid w:val="00937476"/>
    <w:rsid w:val="00937CC1"/>
    <w:rsid w:val="0094154E"/>
    <w:rsid w:val="009632E5"/>
    <w:rsid w:val="00963F69"/>
    <w:rsid w:val="00966FF4"/>
    <w:rsid w:val="0096774D"/>
    <w:rsid w:val="00973BE9"/>
    <w:rsid w:val="00975B73"/>
    <w:rsid w:val="00977DED"/>
    <w:rsid w:val="00980F7B"/>
    <w:rsid w:val="009812AB"/>
    <w:rsid w:val="009826F1"/>
    <w:rsid w:val="00995B02"/>
    <w:rsid w:val="009A0D82"/>
    <w:rsid w:val="009A4874"/>
    <w:rsid w:val="009B677C"/>
    <w:rsid w:val="009B7690"/>
    <w:rsid w:val="009C1DCD"/>
    <w:rsid w:val="009C311C"/>
    <w:rsid w:val="009C6968"/>
    <w:rsid w:val="009D004D"/>
    <w:rsid w:val="009D0FA3"/>
    <w:rsid w:val="009D7F49"/>
    <w:rsid w:val="009E6006"/>
    <w:rsid w:val="009E79A8"/>
    <w:rsid w:val="009F0806"/>
    <w:rsid w:val="009F12D8"/>
    <w:rsid w:val="009F2DD0"/>
    <w:rsid w:val="009F3E46"/>
    <w:rsid w:val="00A06A46"/>
    <w:rsid w:val="00A14D52"/>
    <w:rsid w:val="00A1779D"/>
    <w:rsid w:val="00A21012"/>
    <w:rsid w:val="00A213F9"/>
    <w:rsid w:val="00A250C3"/>
    <w:rsid w:val="00A27F30"/>
    <w:rsid w:val="00A30D04"/>
    <w:rsid w:val="00A343D2"/>
    <w:rsid w:val="00A35D45"/>
    <w:rsid w:val="00A4450A"/>
    <w:rsid w:val="00A47454"/>
    <w:rsid w:val="00A47B73"/>
    <w:rsid w:val="00A52308"/>
    <w:rsid w:val="00A55C81"/>
    <w:rsid w:val="00A60760"/>
    <w:rsid w:val="00A607D7"/>
    <w:rsid w:val="00A60DB2"/>
    <w:rsid w:val="00A61672"/>
    <w:rsid w:val="00A61A4F"/>
    <w:rsid w:val="00A630C7"/>
    <w:rsid w:val="00A63A53"/>
    <w:rsid w:val="00A671EF"/>
    <w:rsid w:val="00A7043D"/>
    <w:rsid w:val="00A705D6"/>
    <w:rsid w:val="00A71586"/>
    <w:rsid w:val="00A725C1"/>
    <w:rsid w:val="00A75C8E"/>
    <w:rsid w:val="00A76303"/>
    <w:rsid w:val="00A7632C"/>
    <w:rsid w:val="00A811CB"/>
    <w:rsid w:val="00A81F72"/>
    <w:rsid w:val="00A834DE"/>
    <w:rsid w:val="00A85BB8"/>
    <w:rsid w:val="00A86F7B"/>
    <w:rsid w:val="00A8730E"/>
    <w:rsid w:val="00A91358"/>
    <w:rsid w:val="00A913E0"/>
    <w:rsid w:val="00A91E94"/>
    <w:rsid w:val="00AA112B"/>
    <w:rsid w:val="00AA16F9"/>
    <w:rsid w:val="00AA1831"/>
    <w:rsid w:val="00AA3F47"/>
    <w:rsid w:val="00AA649D"/>
    <w:rsid w:val="00AA6C36"/>
    <w:rsid w:val="00AC0BF4"/>
    <w:rsid w:val="00AC3EE9"/>
    <w:rsid w:val="00AD1384"/>
    <w:rsid w:val="00AD692E"/>
    <w:rsid w:val="00AE0C58"/>
    <w:rsid w:val="00AE1DB5"/>
    <w:rsid w:val="00AE45F5"/>
    <w:rsid w:val="00AE4888"/>
    <w:rsid w:val="00AE53E4"/>
    <w:rsid w:val="00AE5DA6"/>
    <w:rsid w:val="00AE6AA5"/>
    <w:rsid w:val="00AF1379"/>
    <w:rsid w:val="00AF2039"/>
    <w:rsid w:val="00AF3547"/>
    <w:rsid w:val="00AF3EBF"/>
    <w:rsid w:val="00AF4C1E"/>
    <w:rsid w:val="00AF551E"/>
    <w:rsid w:val="00AF7FF2"/>
    <w:rsid w:val="00B00B57"/>
    <w:rsid w:val="00B01A16"/>
    <w:rsid w:val="00B02EC3"/>
    <w:rsid w:val="00B0576D"/>
    <w:rsid w:val="00B10278"/>
    <w:rsid w:val="00B12973"/>
    <w:rsid w:val="00B148BD"/>
    <w:rsid w:val="00B167CC"/>
    <w:rsid w:val="00B2185A"/>
    <w:rsid w:val="00B22FEF"/>
    <w:rsid w:val="00B31FC8"/>
    <w:rsid w:val="00B327DD"/>
    <w:rsid w:val="00B329D1"/>
    <w:rsid w:val="00B331A2"/>
    <w:rsid w:val="00B41A85"/>
    <w:rsid w:val="00B45966"/>
    <w:rsid w:val="00B5382C"/>
    <w:rsid w:val="00B558E6"/>
    <w:rsid w:val="00B55F19"/>
    <w:rsid w:val="00B56657"/>
    <w:rsid w:val="00B57B43"/>
    <w:rsid w:val="00B61ECD"/>
    <w:rsid w:val="00B62168"/>
    <w:rsid w:val="00B655BB"/>
    <w:rsid w:val="00B669BF"/>
    <w:rsid w:val="00B8022E"/>
    <w:rsid w:val="00B84591"/>
    <w:rsid w:val="00B86076"/>
    <w:rsid w:val="00B86984"/>
    <w:rsid w:val="00B90BB4"/>
    <w:rsid w:val="00B957C5"/>
    <w:rsid w:val="00B95DBC"/>
    <w:rsid w:val="00BA06A6"/>
    <w:rsid w:val="00BA3E1E"/>
    <w:rsid w:val="00BB0D7E"/>
    <w:rsid w:val="00BB2F8F"/>
    <w:rsid w:val="00BB3397"/>
    <w:rsid w:val="00BB33EA"/>
    <w:rsid w:val="00BB50E4"/>
    <w:rsid w:val="00BD1304"/>
    <w:rsid w:val="00BD1D00"/>
    <w:rsid w:val="00BD4D11"/>
    <w:rsid w:val="00BD546B"/>
    <w:rsid w:val="00BD6285"/>
    <w:rsid w:val="00BD77C3"/>
    <w:rsid w:val="00BE277B"/>
    <w:rsid w:val="00BE36CA"/>
    <w:rsid w:val="00BF1222"/>
    <w:rsid w:val="00BF1D98"/>
    <w:rsid w:val="00BF2567"/>
    <w:rsid w:val="00BF5DB8"/>
    <w:rsid w:val="00C0189A"/>
    <w:rsid w:val="00C057CE"/>
    <w:rsid w:val="00C0637C"/>
    <w:rsid w:val="00C07109"/>
    <w:rsid w:val="00C10176"/>
    <w:rsid w:val="00C10BA9"/>
    <w:rsid w:val="00C121FC"/>
    <w:rsid w:val="00C1417B"/>
    <w:rsid w:val="00C14717"/>
    <w:rsid w:val="00C176AF"/>
    <w:rsid w:val="00C177DA"/>
    <w:rsid w:val="00C2085D"/>
    <w:rsid w:val="00C2110B"/>
    <w:rsid w:val="00C21FE9"/>
    <w:rsid w:val="00C26970"/>
    <w:rsid w:val="00C32D52"/>
    <w:rsid w:val="00C37DA4"/>
    <w:rsid w:val="00C45153"/>
    <w:rsid w:val="00C52DF0"/>
    <w:rsid w:val="00C52F9D"/>
    <w:rsid w:val="00C56061"/>
    <w:rsid w:val="00C564E7"/>
    <w:rsid w:val="00C56621"/>
    <w:rsid w:val="00C606CA"/>
    <w:rsid w:val="00C65821"/>
    <w:rsid w:val="00C7366A"/>
    <w:rsid w:val="00C765DC"/>
    <w:rsid w:val="00C77024"/>
    <w:rsid w:val="00C771EF"/>
    <w:rsid w:val="00C80468"/>
    <w:rsid w:val="00C84433"/>
    <w:rsid w:val="00C856C5"/>
    <w:rsid w:val="00C85BFE"/>
    <w:rsid w:val="00C86072"/>
    <w:rsid w:val="00C9198A"/>
    <w:rsid w:val="00C9521F"/>
    <w:rsid w:val="00C9547A"/>
    <w:rsid w:val="00CA1F42"/>
    <w:rsid w:val="00CA4CF9"/>
    <w:rsid w:val="00CB47C4"/>
    <w:rsid w:val="00CB6452"/>
    <w:rsid w:val="00CB76C8"/>
    <w:rsid w:val="00CC1B4E"/>
    <w:rsid w:val="00CC57DD"/>
    <w:rsid w:val="00CC6F8D"/>
    <w:rsid w:val="00CD51C6"/>
    <w:rsid w:val="00CE03E1"/>
    <w:rsid w:val="00CE0EA3"/>
    <w:rsid w:val="00CE7FE3"/>
    <w:rsid w:val="00CF32C7"/>
    <w:rsid w:val="00CF4EC0"/>
    <w:rsid w:val="00CF64D8"/>
    <w:rsid w:val="00CF7839"/>
    <w:rsid w:val="00D02242"/>
    <w:rsid w:val="00D04236"/>
    <w:rsid w:val="00D128CA"/>
    <w:rsid w:val="00D15768"/>
    <w:rsid w:val="00D168FB"/>
    <w:rsid w:val="00D22C54"/>
    <w:rsid w:val="00D23EBD"/>
    <w:rsid w:val="00D24ECA"/>
    <w:rsid w:val="00D33826"/>
    <w:rsid w:val="00D36E35"/>
    <w:rsid w:val="00D40A85"/>
    <w:rsid w:val="00D42A0E"/>
    <w:rsid w:val="00D434CF"/>
    <w:rsid w:val="00D478A0"/>
    <w:rsid w:val="00D50E4C"/>
    <w:rsid w:val="00D5537E"/>
    <w:rsid w:val="00D61935"/>
    <w:rsid w:val="00D62615"/>
    <w:rsid w:val="00D63569"/>
    <w:rsid w:val="00D67A0C"/>
    <w:rsid w:val="00D73BEB"/>
    <w:rsid w:val="00D73E7C"/>
    <w:rsid w:val="00D76084"/>
    <w:rsid w:val="00D77CB5"/>
    <w:rsid w:val="00D81A79"/>
    <w:rsid w:val="00D850F3"/>
    <w:rsid w:val="00D859F5"/>
    <w:rsid w:val="00D90BCD"/>
    <w:rsid w:val="00D95B62"/>
    <w:rsid w:val="00DA0A68"/>
    <w:rsid w:val="00DA63C3"/>
    <w:rsid w:val="00DA7968"/>
    <w:rsid w:val="00DA7C9E"/>
    <w:rsid w:val="00DB1048"/>
    <w:rsid w:val="00DB3D7B"/>
    <w:rsid w:val="00DC192E"/>
    <w:rsid w:val="00DC19D7"/>
    <w:rsid w:val="00DC1BE9"/>
    <w:rsid w:val="00DC1D60"/>
    <w:rsid w:val="00DC4FD6"/>
    <w:rsid w:val="00DC7786"/>
    <w:rsid w:val="00DD052A"/>
    <w:rsid w:val="00DD20A8"/>
    <w:rsid w:val="00DD292D"/>
    <w:rsid w:val="00DD438C"/>
    <w:rsid w:val="00DD591A"/>
    <w:rsid w:val="00DD6CCD"/>
    <w:rsid w:val="00DE5A97"/>
    <w:rsid w:val="00DF49AA"/>
    <w:rsid w:val="00E00D3F"/>
    <w:rsid w:val="00E01B15"/>
    <w:rsid w:val="00E024B9"/>
    <w:rsid w:val="00E03EA5"/>
    <w:rsid w:val="00E10B5D"/>
    <w:rsid w:val="00E10C1C"/>
    <w:rsid w:val="00E120B8"/>
    <w:rsid w:val="00E123DB"/>
    <w:rsid w:val="00E1380C"/>
    <w:rsid w:val="00E13C2C"/>
    <w:rsid w:val="00E13F7C"/>
    <w:rsid w:val="00E149EB"/>
    <w:rsid w:val="00E15E02"/>
    <w:rsid w:val="00E21CC4"/>
    <w:rsid w:val="00E31829"/>
    <w:rsid w:val="00E35974"/>
    <w:rsid w:val="00E405BC"/>
    <w:rsid w:val="00E426C4"/>
    <w:rsid w:val="00E44EEB"/>
    <w:rsid w:val="00E46879"/>
    <w:rsid w:val="00E525EA"/>
    <w:rsid w:val="00E5326C"/>
    <w:rsid w:val="00E53A06"/>
    <w:rsid w:val="00E55A8B"/>
    <w:rsid w:val="00E55CE9"/>
    <w:rsid w:val="00E57C7A"/>
    <w:rsid w:val="00E60BE4"/>
    <w:rsid w:val="00E61D29"/>
    <w:rsid w:val="00E62209"/>
    <w:rsid w:val="00E670C7"/>
    <w:rsid w:val="00E678FF"/>
    <w:rsid w:val="00E67C8B"/>
    <w:rsid w:val="00E713A5"/>
    <w:rsid w:val="00E74CDC"/>
    <w:rsid w:val="00E75225"/>
    <w:rsid w:val="00E76636"/>
    <w:rsid w:val="00E76697"/>
    <w:rsid w:val="00E76AF9"/>
    <w:rsid w:val="00E77AB0"/>
    <w:rsid w:val="00E817F3"/>
    <w:rsid w:val="00E85324"/>
    <w:rsid w:val="00E92DE8"/>
    <w:rsid w:val="00E9546A"/>
    <w:rsid w:val="00EA4840"/>
    <w:rsid w:val="00EA5467"/>
    <w:rsid w:val="00EA7569"/>
    <w:rsid w:val="00EB22CE"/>
    <w:rsid w:val="00EC3D90"/>
    <w:rsid w:val="00EC4106"/>
    <w:rsid w:val="00EC6A78"/>
    <w:rsid w:val="00ED1B8E"/>
    <w:rsid w:val="00ED6F00"/>
    <w:rsid w:val="00ED7008"/>
    <w:rsid w:val="00ED7CB7"/>
    <w:rsid w:val="00EE3D06"/>
    <w:rsid w:val="00EE40EF"/>
    <w:rsid w:val="00EE7942"/>
    <w:rsid w:val="00EF2200"/>
    <w:rsid w:val="00EF355C"/>
    <w:rsid w:val="00EF5D0A"/>
    <w:rsid w:val="00F00B98"/>
    <w:rsid w:val="00F04BEC"/>
    <w:rsid w:val="00F077AC"/>
    <w:rsid w:val="00F12873"/>
    <w:rsid w:val="00F1296F"/>
    <w:rsid w:val="00F13A59"/>
    <w:rsid w:val="00F22960"/>
    <w:rsid w:val="00F24961"/>
    <w:rsid w:val="00F25B67"/>
    <w:rsid w:val="00F26F9A"/>
    <w:rsid w:val="00F27848"/>
    <w:rsid w:val="00F32AE5"/>
    <w:rsid w:val="00F32CC0"/>
    <w:rsid w:val="00F3502B"/>
    <w:rsid w:val="00F373C4"/>
    <w:rsid w:val="00F375F7"/>
    <w:rsid w:val="00F41257"/>
    <w:rsid w:val="00F420CD"/>
    <w:rsid w:val="00F43771"/>
    <w:rsid w:val="00F4635B"/>
    <w:rsid w:val="00F53AD5"/>
    <w:rsid w:val="00F5449F"/>
    <w:rsid w:val="00F560D4"/>
    <w:rsid w:val="00F56D44"/>
    <w:rsid w:val="00F57104"/>
    <w:rsid w:val="00F60FF9"/>
    <w:rsid w:val="00F611AA"/>
    <w:rsid w:val="00F61F30"/>
    <w:rsid w:val="00F64FED"/>
    <w:rsid w:val="00F72829"/>
    <w:rsid w:val="00F73B5E"/>
    <w:rsid w:val="00F82A07"/>
    <w:rsid w:val="00F83F06"/>
    <w:rsid w:val="00F85345"/>
    <w:rsid w:val="00F90EB5"/>
    <w:rsid w:val="00F969CD"/>
    <w:rsid w:val="00FA183B"/>
    <w:rsid w:val="00FA1C1D"/>
    <w:rsid w:val="00FA2B2C"/>
    <w:rsid w:val="00FA2F05"/>
    <w:rsid w:val="00FA4CDB"/>
    <w:rsid w:val="00FA4E94"/>
    <w:rsid w:val="00FB1971"/>
    <w:rsid w:val="00FB34BA"/>
    <w:rsid w:val="00FC09EA"/>
    <w:rsid w:val="00FC2D7E"/>
    <w:rsid w:val="00FC722E"/>
    <w:rsid w:val="00FD521A"/>
    <w:rsid w:val="00FD7B83"/>
    <w:rsid w:val="00FE019D"/>
    <w:rsid w:val="00FE3841"/>
    <w:rsid w:val="041A3829"/>
    <w:rsid w:val="0792406D"/>
    <w:rsid w:val="080E2CE4"/>
    <w:rsid w:val="0988509D"/>
    <w:rsid w:val="0A176DAA"/>
    <w:rsid w:val="0A2931C4"/>
    <w:rsid w:val="0B510596"/>
    <w:rsid w:val="0B82231F"/>
    <w:rsid w:val="0BED32F3"/>
    <w:rsid w:val="0C3034E0"/>
    <w:rsid w:val="0CDF2E37"/>
    <w:rsid w:val="0D92073D"/>
    <w:rsid w:val="0DC567CC"/>
    <w:rsid w:val="0DF620B4"/>
    <w:rsid w:val="0E837FF3"/>
    <w:rsid w:val="0EB85CB3"/>
    <w:rsid w:val="0F0F142A"/>
    <w:rsid w:val="0F8F3F2D"/>
    <w:rsid w:val="1005512E"/>
    <w:rsid w:val="12611BBF"/>
    <w:rsid w:val="127B113A"/>
    <w:rsid w:val="132C13BF"/>
    <w:rsid w:val="13EB56AA"/>
    <w:rsid w:val="1479538B"/>
    <w:rsid w:val="184B637F"/>
    <w:rsid w:val="18C41E08"/>
    <w:rsid w:val="19DC3E3F"/>
    <w:rsid w:val="1A3508D2"/>
    <w:rsid w:val="1CBB4BFB"/>
    <w:rsid w:val="1D112FA3"/>
    <w:rsid w:val="1D2049E9"/>
    <w:rsid w:val="1D774363"/>
    <w:rsid w:val="1E1A341E"/>
    <w:rsid w:val="21C355DC"/>
    <w:rsid w:val="21FF6D50"/>
    <w:rsid w:val="225B5A92"/>
    <w:rsid w:val="24640348"/>
    <w:rsid w:val="24DA046E"/>
    <w:rsid w:val="2560762B"/>
    <w:rsid w:val="26DD7DAA"/>
    <w:rsid w:val="275F722D"/>
    <w:rsid w:val="279962F8"/>
    <w:rsid w:val="28240349"/>
    <w:rsid w:val="291E2E2D"/>
    <w:rsid w:val="2B7C22AB"/>
    <w:rsid w:val="2B82608B"/>
    <w:rsid w:val="2C283B4B"/>
    <w:rsid w:val="30607CC7"/>
    <w:rsid w:val="309E342E"/>
    <w:rsid w:val="30F51CCB"/>
    <w:rsid w:val="31081C20"/>
    <w:rsid w:val="32C74DB5"/>
    <w:rsid w:val="34327162"/>
    <w:rsid w:val="343C392E"/>
    <w:rsid w:val="35F0611D"/>
    <w:rsid w:val="362F3E3B"/>
    <w:rsid w:val="36811E6F"/>
    <w:rsid w:val="36BB020D"/>
    <w:rsid w:val="3740560D"/>
    <w:rsid w:val="382F743C"/>
    <w:rsid w:val="3A354701"/>
    <w:rsid w:val="3AE1639E"/>
    <w:rsid w:val="3AEB5DC3"/>
    <w:rsid w:val="3B4314D0"/>
    <w:rsid w:val="3BE21C42"/>
    <w:rsid w:val="3C68322A"/>
    <w:rsid w:val="3F6403D7"/>
    <w:rsid w:val="402628E0"/>
    <w:rsid w:val="41367014"/>
    <w:rsid w:val="41BA7011"/>
    <w:rsid w:val="4234200A"/>
    <w:rsid w:val="4A170AF0"/>
    <w:rsid w:val="4C3F3E27"/>
    <w:rsid w:val="4D662D31"/>
    <w:rsid w:val="4D7C4362"/>
    <w:rsid w:val="51E35030"/>
    <w:rsid w:val="52361808"/>
    <w:rsid w:val="539C5B97"/>
    <w:rsid w:val="54464079"/>
    <w:rsid w:val="545C2C1C"/>
    <w:rsid w:val="553638F9"/>
    <w:rsid w:val="5568289D"/>
    <w:rsid w:val="574053AC"/>
    <w:rsid w:val="58527083"/>
    <w:rsid w:val="5AE86C33"/>
    <w:rsid w:val="5B2445F4"/>
    <w:rsid w:val="5C617EC3"/>
    <w:rsid w:val="5D0046DE"/>
    <w:rsid w:val="5DA82A31"/>
    <w:rsid w:val="5DE62495"/>
    <w:rsid w:val="5F371DCB"/>
    <w:rsid w:val="5FC831D3"/>
    <w:rsid w:val="60737AF7"/>
    <w:rsid w:val="60871BA3"/>
    <w:rsid w:val="60881C00"/>
    <w:rsid w:val="6112710E"/>
    <w:rsid w:val="618C7A71"/>
    <w:rsid w:val="62CA0DD8"/>
    <w:rsid w:val="63737887"/>
    <w:rsid w:val="63AC64FB"/>
    <w:rsid w:val="66CC0D08"/>
    <w:rsid w:val="675C64F4"/>
    <w:rsid w:val="69515757"/>
    <w:rsid w:val="69C707D3"/>
    <w:rsid w:val="6BC753DA"/>
    <w:rsid w:val="6C3673A5"/>
    <w:rsid w:val="6C420690"/>
    <w:rsid w:val="6EBA6BEF"/>
    <w:rsid w:val="6F0D5CF5"/>
    <w:rsid w:val="6FE81CA6"/>
    <w:rsid w:val="71387BEE"/>
    <w:rsid w:val="71F81F37"/>
    <w:rsid w:val="720120C8"/>
    <w:rsid w:val="74401624"/>
    <w:rsid w:val="74C65ADB"/>
    <w:rsid w:val="7640043B"/>
    <w:rsid w:val="76BC0C5B"/>
    <w:rsid w:val="770177FE"/>
    <w:rsid w:val="78DB303C"/>
    <w:rsid w:val="79AC30D4"/>
    <w:rsid w:val="7D4E76C6"/>
    <w:rsid w:val="7E026211"/>
    <w:rsid w:val="7E6E7732"/>
    <w:rsid w:val="7FB3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46"/>
    <w:qFormat/>
    <w:uiPriority w:val="0"/>
    <w:pPr>
      <w:keepNext/>
      <w:adjustRightInd w:val="0"/>
      <w:spacing w:line="300" w:lineRule="auto"/>
      <w:jc w:val="center"/>
      <w:textAlignment w:val="baseline"/>
      <w:outlineLvl w:val="0"/>
    </w:pPr>
    <w:rPr>
      <w:rFonts w:ascii="黑体" w:hAnsi="黑体" w:eastAsia="黑体"/>
      <w:b/>
      <w:color w:val="000000"/>
      <w:kern w:val="0"/>
      <w:sz w:val="36"/>
      <w:szCs w:val="36"/>
    </w:rPr>
  </w:style>
  <w:style w:type="paragraph" w:styleId="4">
    <w:name w:val="heading 2"/>
    <w:basedOn w:val="1"/>
    <w:next w:val="1"/>
    <w:link w:val="55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link w:val="50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6">
    <w:name w:val="heading 4"/>
    <w:basedOn w:val="1"/>
    <w:next w:val="1"/>
    <w:link w:val="54"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7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 w:val="32"/>
      <w:szCs w:val="20"/>
    </w:rPr>
  </w:style>
  <w:style w:type="paragraph" w:styleId="7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</w:rPr>
  </w:style>
  <w:style w:type="paragraph" w:styleId="8">
    <w:name w:val="Document Map"/>
    <w:basedOn w:val="1"/>
    <w:link w:val="44"/>
    <w:unhideWhenUsed/>
    <w:qFormat/>
    <w:uiPriority w:val="0"/>
    <w:rPr>
      <w:rFonts w:ascii="宋体"/>
      <w:kern w:val="0"/>
      <w:sz w:val="18"/>
      <w:szCs w:val="18"/>
    </w:rPr>
  </w:style>
  <w:style w:type="paragraph" w:styleId="9">
    <w:name w:val="annotation text"/>
    <w:basedOn w:val="1"/>
    <w:link w:val="47"/>
    <w:unhideWhenUsed/>
    <w:qFormat/>
    <w:uiPriority w:val="0"/>
    <w:pPr>
      <w:jc w:val="left"/>
    </w:pPr>
  </w:style>
  <w:style w:type="paragraph" w:styleId="10">
    <w:name w:val="Salutation"/>
    <w:basedOn w:val="1"/>
    <w:next w:val="1"/>
    <w:link w:val="83"/>
    <w:qFormat/>
    <w:uiPriority w:val="0"/>
    <w:pPr>
      <w:spacing w:before="60" w:after="60" w:line="312" w:lineRule="auto"/>
    </w:pPr>
    <w:rPr>
      <w:rFonts w:eastAsia="仿宋_GB2312"/>
      <w:sz w:val="24"/>
      <w:szCs w:val="20"/>
    </w:rPr>
  </w:style>
  <w:style w:type="paragraph" w:styleId="11">
    <w:name w:val="Body Text"/>
    <w:basedOn w:val="1"/>
    <w:link w:val="42"/>
    <w:unhideWhenUsed/>
    <w:qFormat/>
    <w:uiPriority w:val="0"/>
    <w:pPr>
      <w:spacing w:after="120"/>
    </w:pPr>
  </w:style>
  <w:style w:type="paragraph" w:styleId="12">
    <w:name w:val="Body Text Indent"/>
    <w:basedOn w:val="1"/>
    <w:link w:val="43"/>
    <w:qFormat/>
    <w:uiPriority w:val="0"/>
    <w:pPr>
      <w:spacing w:line="360" w:lineRule="auto"/>
      <w:ind w:firstLine="480" w:firstLineChars="200"/>
    </w:pPr>
    <w:rPr>
      <w:rFonts w:ascii="宋体" w:hAnsi="宋体"/>
      <w:kern w:val="0"/>
      <w:sz w:val="24"/>
      <w:szCs w:val="20"/>
    </w:rPr>
  </w:style>
  <w:style w:type="paragraph" w:styleId="13">
    <w:name w:val="Block Text"/>
    <w:basedOn w:val="1"/>
    <w:qFormat/>
    <w:uiPriority w:val="0"/>
    <w:pPr>
      <w:ind w:left="359" w:leftChars="171" w:right="72" w:firstLine="1"/>
    </w:pPr>
    <w:rPr>
      <w:sz w:val="24"/>
      <w:szCs w:val="20"/>
    </w:rPr>
  </w:style>
  <w:style w:type="paragraph" w:styleId="14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</w:rPr>
  </w:style>
  <w:style w:type="paragraph" w:styleId="1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6">
    <w:name w:val="Plain Text"/>
    <w:basedOn w:val="1"/>
    <w:link w:val="56"/>
    <w:qFormat/>
    <w:uiPriority w:val="0"/>
    <w:rPr>
      <w:rFonts w:ascii="宋体" w:hAnsi="Courier New"/>
      <w:kern w:val="10"/>
      <w:sz w:val="20"/>
      <w:szCs w:val="20"/>
    </w:rPr>
  </w:style>
  <w:style w:type="paragraph" w:styleId="17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</w:rPr>
  </w:style>
  <w:style w:type="paragraph" w:styleId="18">
    <w:name w:val="Date"/>
    <w:basedOn w:val="1"/>
    <w:next w:val="1"/>
    <w:link w:val="45"/>
    <w:unhideWhenUsed/>
    <w:qFormat/>
    <w:uiPriority w:val="0"/>
    <w:pPr>
      <w:ind w:left="100" w:leftChars="2500"/>
    </w:pPr>
  </w:style>
  <w:style w:type="paragraph" w:styleId="19">
    <w:name w:val="Balloon Text"/>
    <w:basedOn w:val="1"/>
    <w:link w:val="58"/>
    <w:unhideWhenUsed/>
    <w:qFormat/>
    <w:uiPriority w:val="0"/>
    <w:rPr>
      <w:sz w:val="18"/>
      <w:szCs w:val="18"/>
    </w:rPr>
  </w:style>
  <w:style w:type="paragraph" w:styleId="20">
    <w:name w:val="foot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21">
    <w:name w:val="header"/>
    <w:basedOn w:val="1"/>
    <w:link w:val="5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2">
    <w:name w:val="toc 1"/>
    <w:basedOn w:val="1"/>
    <w:next w:val="1"/>
    <w:qFormat/>
    <w:uiPriority w:val="39"/>
    <w:rPr>
      <w:szCs w:val="24"/>
    </w:rPr>
  </w:style>
  <w:style w:type="paragraph" w:styleId="23">
    <w:name w:val="toc 4"/>
    <w:basedOn w:val="1"/>
    <w:next w:val="1"/>
    <w:unhideWhenUsed/>
    <w:qFormat/>
    <w:uiPriority w:val="39"/>
    <w:pPr>
      <w:ind w:left="1260" w:leftChars="600"/>
    </w:pPr>
    <w:rPr>
      <w:rFonts w:asciiTheme="minorHAnsi" w:hAnsiTheme="minorHAnsi" w:eastAsiaTheme="minorEastAsia" w:cstheme="minorBidi"/>
    </w:rPr>
  </w:style>
  <w:style w:type="paragraph" w:styleId="24">
    <w:name w:val="toc 6"/>
    <w:basedOn w:val="1"/>
    <w:next w:val="1"/>
    <w:unhideWhenUsed/>
    <w:qFormat/>
    <w:uiPriority w:val="39"/>
    <w:pPr>
      <w:ind w:left="2100" w:leftChars="1000"/>
    </w:pPr>
    <w:rPr>
      <w:rFonts w:asciiTheme="minorHAnsi" w:hAnsiTheme="minorHAnsi" w:eastAsiaTheme="minorEastAsia" w:cstheme="minorBidi"/>
    </w:rPr>
  </w:style>
  <w:style w:type="paragraph" w:styleId="25">
    <w:name w:val="toc 2"/>
    <w:basedOn w:val="1"/>
    <w:next w:val="1"/>
    <w:unhideWhenUsed/>
    <w:qFormat/>
    <w:uiPriority w:val="39"/>
    <w:pPr>
      <w:tabs>
        <w:tab w:val="left" w:pos="985"/>
      </w:tabs>
      <w:spacing w:line="360" w:lineRule="auto"/>
      <w:ind w:left="420" w:leftChars="200"/>
    </w:pPr>
  </w:style>
  <w:style w:type="paragraph" w:styleId="26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</w:rPr>
  </w:style>
  <w:style w:type="paragraph" w:styleId="27">
    <w:name w:val="HTML Preformatted"/>
    <w:basedOn w:val="1"/>
    <w:link w:val="5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28">
    <w:name w:val="Normal (Web)"/>
    <w:basedOn w:val="1"/>
    <w:link w:val="49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29">
    <w:name w:val="annotation subject"/>
    <w:basedOn w:val="9"/>
    <w:next w:val="9"/>
    <w:link w:val="48"/>
    <w:unhideWhenUsed/>
    <w:qFormat/>
    <w:uiPriority w:val="0"/>
    <w:rPr>
      <w:b/>
      <w:bCs/>
    </w:rPr>
  </w:style>
  <w:style w:type="paragraph" w:styleId="30">
    <w:name w:val="Body Text First Indent"/>
    <w:basedOn w:val="11"/>
    <w:link w:val="41"/>
    <w:unhideWhenUsed/>
    <w:qFormat/>
    <w:uiPriority w:val="0"/>
    <w:pPr>
      <w:ind w:firstLine="420" w:firstLineChars="100"/>
    </w:pPr>
  </w:style>
  <w:style w:type="table" w:styleId="32">
    <w:name w:val="Table Grid"/>
    <w:basedOn w:val="31"/>
    <w:qFormat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qFormat/>
    <w:uiPriority w:val="0"/>
    <w:rPr>
      <w:b/>
      <w:bCs/>
    </w:rPr>
  </w:style>
  <w:style w:type="character" w:styleId="35">
    <w:name w:val="page number"/>
    <w:basedOn w:val="33"/>
    <w:qFormat/>
    <w:uiPriority w:val="0"/>
  </w:style>
  <w:style w:type="character" w:styleId="36">
    <w:name w:val="Hyperlink"/>
    <w:unhideWhenUsed/>
    <w:qFormat/>
    <w:uiPriority w:val="99"/>
    <w:rPr>
      <w:color w:val="0000FF"/>
      <w:u w:val="single"/>
    </w:rPr>
  </w:style>
  <w:style w:type="character" w:styleId="37">
    <w:name w:val="annotation reference"/>
    <w:unhideWhenUsed/>
    <w:qFormat/>
    <w:uiPriority w:val="0"/>
    <w:rPr>
      <w:sz w:val="21"/>
      <w:szCs w:val="21"/>
    </w:rPr>
  </w:style>
  <w:style w:type="character" w:customStyle="1" w:styleId="38">
    <w:name w:val="纯文本 Char1"/>
    <w:qFormat/>
    <w:uiPriority w:val="0"/>
    <w:rPr>
      <w:rFonts w:ascii="宋体" w:hAnsi="Courier New" w:eastAsia="宋体" w:cs="Courier New"/>
      <w:szCs w:val="21"/>
    </w:rPr>
  </w:style>
  <w:style w:type="character" w:customStyle="1" w:styleId="39">
    <w:name w:val="Default Char Char"/>
    <w:link w:val="40"/>
    <w:qFormat/>
    <w:locked/>
    <w:uiPriority w:val="99"/>
    <w:rPr>
      <w:rFonts w:ascii="宋体" w:hAnsi="宋体"/>
      <w:color w:val="000000"/>
      <w:sz w:val="24"/>
      <w:szCs w:val="24"/>
    </w:rPr>
  </w:style>
  <w:style w:type="paragraph" w:customStyle="1" w:styleId="40">
    <w:name w:val="Default"/>
    <w:link w:val="39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41">
    <w:name w:val="正文首行缩进 Char"/>
    <w:basedOn w:val="42"/>
    <w:link w:val="30"/>
    <w:qFormat/>
    <w:uiPriority w:val="99"/>
  </w:style>
  <w:style w:type="character" w:customStyle="1" w:styleId="42">
    <w:name w:val="正文文本 Char"/>
    <w:basedOn w:val="33"/>
    <w:link w:val="11"/>
    <w:qFormat/>
    <w:uiPriority w:val="99"/>
  </w:style>
  <w:style w:type="character" w:customStyle="1" w:styleId="43">
    <w:name w:val="正文文本缩进 Char"/>
    <w:link w:val="12"/>
    <w:qFormat/>
    <w:uiPriority w:val="0"/>
    <w:rPr>
      <w:rFonts w:ascii="宋体" w:hAnsi="宋体" w:eastAsia="宋体" w:cs="Times New Roman"/>
      <w:sz w:val="24"/>
      <w:szCs w:val="20"/>
    </w:rPr>
  </w:style>
  <w:style w:type="character" w:customStyle="1" w:styleId="44">
    <w:name w:val="文档结构图 Char"/>
    <w:link w:val="8"/>
    <w:semiHidden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45">
    <w:name w:val="日期 Char"/>
    <w:link w:val="18"/>
    <w:semiHidden/>
    <w:qFormat/>
    <w:uiPriority w:val="99"/>
    <w:rPr>
      <w:kern w:val="2"/>
      <w:sz w:val="21"/>
      <w:szCs w:val="22"/>
    </w:rPr>
  </w:style>
  <w:style w:type="character" w:customStyle="1" w:styleId="46">
    <w:name w:val="标题 1 Char"/>
    <w:link w:val="3"/>
    <w:qFormat/>
    <w:uiPriority w:val="0"/>
    <w:rPr>
      <w:rFonts w:ascii="黑体" w:hAnsi="黑体" w:eastAsia="黑体" w:cs="Times New Roman"/>
      <w:b/>
      <w:color w:val="000000"/>
      <w:kern w:val="0"/>
      <w:sz w:val="36"/>
      <w:szCs w:val="36"/>
    </w:rPr>
  </w:style>
  <w:style w:type="character" w:customStyle="1" w:styleId="47">
    <w:name w:val="批注文字 Char"/>
    <w:link w:val="9"/>
    <w:qFormat/>
    <w:uiPriority w:val="0"/>
    <w:rPr>
      <w:kern w:val="2"/>
      <w:sz w:val="21"/>
      <w:szCs w:val="22"/>
    </w:rPr>
  </w:style>
  <w:style w:type="character" w:customStyle="1" w:styleId="48">
    <w:name w:val="批注主题 Char"/>
    <w:link w:val="29"/>
    <w:qFormat/>
    <w:uiPriority w:val="0"/>
    <w:rPr>
      <w:b/>
      <w:bCs/>
      <w:kern w:val="2"/>
      <w:sz w:val="21"/>
      <w:szCs w:val="22"/>
    </w:rPr>
  </w:style>
  <w:style w:type="character" w:customStyle="1" w:styleId="49">
    <w:name w:val="普通(网站) Char"/>
    <w:link w:val="28"/>
    <w:qFormat/>
    <w:uiPriority w:val="0"/>
    <w:rPr>
      <w:rFonts w:ascii="宋体" w:hAnsi="宋体"/>
      <w:sz w:val="24"/>
    </w:rPr>
  </w:style>
  <w:style w:type="character" w:customStyle="1" w:styleId="50">
    <w:name w:val="标题 3 Char"/>
    <w:link w:val="5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51">
    <w:name w:val="页脚 Char1"/>
    <w:semiHidden/>
    <w:qFormat/>
    <w:uiPriority w:val="99"/>
    <w:rPr>
      <w:sz w:val="18"/>
      <w:szCs w:val="18"/>
    </w:rPr>
  </w:style>
  <w:style w:type="character" w:customStyle="1" w:styleId="52">
    <w:name w:val="页眉 Char"/>
    <w:link w:val="21"/>
    <w:qFormat/>
    <w:uiPriority w:val="0"/>
    <w:rPr>
      <w:sz w:val="18"/>
      <w:szCs w:val="18"/>
    </w:rPr>
  </w:style>
  <w:style w:type="character" w:customStyle="1" w:styleId="53">
    <w:name w:val="页脚 Char"/>
    <w:link w:val="20"/>
    <w:qFormat/>
    <w:uiPriority w:val="99"/>
    <w:rPr>
      <w:sz w:val="18"/>
      <w:szCs w:val="18"/>
    </w:rPr>
  </w:style>
  <w:style w:type="character" w:customStyle="1" w:styleId="54">
    <w:name w:val="标题 4 Char"/>
    <w:link w:val="6"/>
    <w:qFormat/>
    <w:uiPriority w:val="9"/>
    <w:rPr>
      <w:rFonts w:ascii="Calibri Light" w:hAnsi="Calibri Light" w:eastAsia="宋体" w:cs="Times New Roman"/>
      <w:b/>
      <w:bCs/>
      <w:kern w:val="2"/>
      <w:sz w:val="28"/>
      <w:szCs w:val="28"/>
    </w:rPr>
  </w:style>
  <w:style w:type="character" w:customStyle="1" w:styleId="55">
    <w:name w:val="标题 2 Char"/>
    <w:link w:val="4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56">
    <w:name w:val="纯文本 Char"/>
    <w:link w:val="16"/>
    <w:qFormat/>
    <w:uiPriority w:val="0"/>
    <w:rPr>
      <w:rFonts w:ascii="宋体" w:hAnsi="Courier New" w:eastAsia="宋体"/>
      <w:kern w:val="10"/>
    </w:rPr>
  </w:style>
  <w:style w:type="character" w:customStyle="1" w:styleId="57">
    <w:name w:val="正文缩进 Char"/>
    <w:link w:val="2"/>
    <w:qFormat/>
    <w:uiPriority w:val="0"/>
    <w:rPr>
      <w:rFonts w:ascii="Times New Roman" w:hAnsi="Times New Roman" w:eastAsia="宋体" w:cs="Times New Roman"/>
      <w:kern w:val="0"/>
      <w:sz w:val="32"/>
      <w:szCs w:val="20"/>
    </w:rPr>
  </w:style>
  <w:style w:type="character" w:customStyle="1" w:styleId="58">
    <w:name w:val="批注框文本 Char"/>
    <w:link w:val="19"/>
    <w:qFormat/>
    <w:uiPriority w:val="0"/>
    <w:rPr>
      <w:kern w:val="2"/>
      <w:sz w:val="18"/>
      <w:szCs w:val="18"/>
    </w:rPr>
  </w:style>
  <w:style w:type="character" w:customStyle="1" w:styleId="59">
    <w:name w:val="HTML 预设格式 Char"/>
    <w:link w:val="27"/>
    <w:qFormat/>
    <w:uiPriority w:val="0"/>
    <w:rPr>
      <w:rFonts w:ascii="宋体" w:hAnsi="宋体"/>
      <w:sz w:val="24"/>
      <w:szCs w:val="24"/>
    </w:rPr>
  </w:style>
  <w:style w:type="character" w:customStyle="1" w:styleId="60">
    <w:name w:val="正文首行缩进 Char1"/>
    <w:qFormat/>
    <w:uiPriority w:val="99"/>
    <w:rPr>
      <w:rFonts w:ascii="Times New Roman" w:hAnsi="Times New Roman" w:eastAsia="仿宋_GB2312" w:cs="Times New Roman"/>
      <w:sz w:val="24"/>
    </w:rPr>
  </w:style>
  <w:style w:type="paragraph" w:customStyle="1" w:styleId="61">
    <w:name w:val="Char"/>
    <w:basedOn w:val="1"/>
    <w:qFormat/>
    <w:uiPriority w:val="0"/>
    <w:rPr>
      <w:szCs w:val="20"/>
    </w:rPr>
  </w:style>
  <w:style w:type="paragraph" w:customStyle="1" w:styleId="62">
    <w:name w:val="Char Char Char Char Char Char Char Char Char Char"/>
    <w:basedOn w:val="1"/>
    <w:qFormat/>
    <w:uiPriority w:val="0"/>
    <w:rPr>
      <w:rFonts w:ascii="Tahoma" w:hAnsi="Tahoma" w:cs="Tahoma"/>
      <w:sz w:val="24"/>
      <w:szCs w:val="24"/>
    </w:rPr>
  </w:style>
  <w:style w:type="paragraph" w:customStyle="1" w:styleId="63">
    <w:name w:val="TOC 标题1"/>
    <w:basedOn w:val="3"/>
    <w:next w:val="1"/>
    <w:qFormat/>
    <w:uiPriority w:val="39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="Cambria" w:hAnsi="Cambria" w:eastAsia="宋体"/>
      <w:bCs/>
      <w:color w:val="365F91"/>
      <w:sz w:val="28"/>
      <w:szCs w:val="28"/>
    </w:rPr>
  </w:style>
  <w:style w:type="paragraph" w:customStyle="1" w:styleId="64">
    <w:name w:val="标题3"/>
    <w:basedOn w:val="5"/>
    <w:next w:val="30"/>
    <w:qFormat/>
    <w:uiPriority w:val="0"/>
    <w:pPr>
      <w:spacing w:before="120" w:after="480" w:line="360" w:lineRule="auto"/>
      <w:jc w:val="center"/>
    </w:pPr>
    <w:rPr>
      <w:rFonts w:eastAsia="黑体"/>
      <w:sz w:val="28"/>
    </w:rPr>
  </w:style>
  <w:style w:type="paragraph" w:customStyle="1" w:styleId="65">
    <w:name w:val="表头及图底"/>
    <w:basedOn w:val="1"/>
    <w:next w:val="1"/>
    <w:qFormat/>
    <w:uiPriority w:val="0"/>
    <w:pPr>
      <w:spacing w:beforeLines="20" w:afterLines="20" w:line="360" w:lineRule="auto"/>
      <w:jc w:val="center"/>
    </w:pPr>
    <w:rPr>
      <w:rFonts w:ascii="宋体" w:hAnsi="宋体" w:eastAsia="仿宋_GB2312"/>
      <w:color w:val="00B050"/>
      <w:kern w:val="0"/>
      <w:sz w:val="24"/>
      <w:szCs w:val="24"/>
    </w:rPr>
  </w:style>
  <w:style w:type="paragraph" w:customStyle="1" w:styleId="66">
    <w:name w:val="列出段落1"/>
    <w:basedOn w:val="1"/>
    <w:qFormat/>
    <w:uiPriority w:val="0"/>
    <w:pPr>
      <w:ind w:firstLine="420" w:firstLineChars="200"/>
    </w:pPr>
  </w:style>
  <w:style w:type="paragraph" w:customStyle="1" w:styleId="67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8">
    <w:name w:val="样式1"/>
    <w:basedOn w:val="1"/>
    <w:qFormat/>
    <w:uiPriority w:val="0"/>
    <w:pPr>
      <w:adjustRightInd w:val="0"/>
      <w:spacing w:before="120" w:after="120" w:line="120" w:lineRule="exact"/>
    </w:pPr>
    <w:rPr>
      <w:color w:val="FF00FF"/>
      <w:kern w:val="0"/>
      <w:sz w:val="24"/>
      <w:szCs w:val="20"/>
    </w:rPr>
  </w:style>
  <w:style w:type="paragraph" w:customStyle="1" w:styleId="69">
    <w:name w:val="正文首行缩进1"/>
    <w:basedOn w:val="11"/>
    <w:qFormat/>
    <w:uiPriority w:val="0"/>
    <w:pPr>
      <w:spacing w:line="360" w:lineRule="auto"/>
    </w:pPr>
  </w:style>
  <w:style w:type="paragraph" w:styleId="70">
    <w:name w:val="List Paragraph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71">
    <w:name w:val="页眉 Char1"/>
    <w:basedOn w:val="3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2">
    <w:name w:val="_Style 1"/>
    <w:basedOn w:val="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73">
    <w:name w:val="样式 标题 3 + (中文) 黑体 小四 非加粗 段前: 7.8 磅 段后: 0 磅 行距: 固定值 20 磅"/>
    <w:basedOn w:val="5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7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Theme="minorEastAsia"/>
      <w:kern w:val="0"/>
      <w:sz w:val="24"/>
      <w:szCs w:val="24"/>
    </w:rPr>
  </w:style>
  <w:style w:type="paragraph" w:customStyle="1" w:styleId="75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kern w:val="0"/>
      <w:sz w:val="28"/>
      <w:szCs w:val="20"/>
      <w:lang w:val="zh-CN"/>
    </w:rPr>
  </w:style>
  <w:style w:type="paragraph" w:customStyle="1" w:styleId="76">
    <w:name w:val="TOC 标题2"/>
    <w:basedOn w:val="3"/>
    <w:next w:val="1"/>
    <w:unhideWhenUsed/>
    <w:qFormat/>
    <w:uiPriority w:val="39"/>
    <w:pPr>
      <w:keepLines/>
      <w:widowControl/>
      <w:adjustRightInd/>
      <w:spacing w:before="240" w:line="259" w:lineRule="auto"/>
      <w:jc w:val="left"/>
      <w:textAlignment w:val="auto"/>
      <w:outlineLvl w:val="9"/>
    </w:pPr>
    <w:rPr>
      <w:rFonts w:asciiTheme="majorHAnsi" w:hAnsiTheme="majorHAnsi" w:eastAsiaTheme="majorEastAsia" w:cstheme="majorBidi"/>
      <w:b w:val="0"/>
      <w:color w:val="366091" w:themeColor="accent1" w:themeShade="BF"/>
      <w:sz w:val="32"/>
      <w:szCs w:val="32"/>
    </w:rPr>
  </w:style>
  <w:style w:type="character" w:customStyle="1" w:styleId="77">
    <w:name w:val="批注文字 Char1"/>
    <w:qFormat/>
    <w:uiPriority w:val="0"/>
    <w:rPr>
      <w:rFonts w:ascii="Times New Roman" w:hAnsi="Times New Roman" w:eastAsia="宋体" w:cs="Times New Roman"/>
      <w:sz w:val="21"/>
      <w:szCs w:val="20"/>
    </w:rPr>
  </w:style>
  <w:style w:type="paragraph" w:customStyle="1" w:styleId="78">
    <w:name w:val="彩色列表 - 着色 11"/>
    <w:basedOn w:val="1"/>
    <w:qFormat/>
    <w:uiPriority w:val="99"/>
    <w:pPr>
      <w:ind w:firstLine="420" w:firstLineChars="200"/>
    </w:pPr>
    <w:rPr>
      <w:szCs w:val="20"/>
    </w:rPr>
  </w:style>
  <w:style w:type="table" w:customStyle="1" w:styleId="79">
    <w:name w:val="无格式表格 21"/>
    <w:basedOn w:val="31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80">
    <w:name w:val="默认段落字体 Para Char Char Char Char"/>
    <w:basedOn w:val="1"/>
    <w:qFormat/>
    <w:uiPriority w:val="0"/>
    <w:rPr>
      <w:szCs w:val="24"/>
    </w:rPr>
  </w:style>
  <w:style w:type="paragraph" w:customStyle="1" w:styleId="81">
    <w:name w:val="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82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character" w:customStyle="1" w:styleId="83">
    <w:name w:val="称呼 Char"/>
    <w:basedOn w:val="33"/>
    <w:link w:val="10"/>
    <w:qFormat/>
    <w:uiPriority w:val="0"/>
    <w:rPr>
      <w:rFonts w:eastAsia="仿宋_GB2312"/>
      <w:kern w:val="2"/>
      <w:sz w:val="24"/>
    </w:rPr>
  </w:style>
  <w:style w:type="character" w:customStyle="1" w:styleId="84">
    <w:name w:val="Char Char3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85">
    <w:name w:val="样式2"/>
    <w:basedOn w:val="1"/>
    <w:qFormat/>
    <w:uiPriority w:val="0"/>
    <w:pPr>
      <w:adjustRightInd w:val="0"/>
      <w:snapToGrid w:val="0"/>
      <w:spacing w:beforeLines="20"/>
      <w:jc w:val="center"/>
    </w:pPr>
    <w:rPr>
      <w:snapToGrid w:val="0"/>
      <w:spacing w:val="-4"/>
      <w:kern w:val="0"/>
      <w:sz w:val="24"/>
      <w:szCs w:val="24"/>
    </w:rPr>
  </w:style>
  <w:style w:type="character" w:customStyle="1" w:styleId="86">
    <w:name w:val="identication Char"/>
    <w:qFormat/>
    <w:uiPriority w:val="0"/>
    <w:rPr>
      <w:kern w:val="2"/>
      <w:sz w:val="21"/>
    </w:rPr>
  </w:style>
  <w:style w:type="paragraph" w:customStyle="1" w:styleId="87">
    <w:name w:val="Normal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8">
    <w:name w:val="正文文本 3 Char"/>
    <w:link w:val="89"/>
    <w:qFormat/>
    <w:uiPriority w:val="0"/>
    <w:rPr>
      <w:rFonts w:ascii="宋体"/>
      <w:sz w:val="24"/>
    </w:rPr>
  </w:style>
  <w:style w:type="paragraph" w:customStyle="1" w:styleId="89">
    <w:name w:val="正文文本 31"/>
    <w:basedOn w:val="1"/>
    <w:link w:val="88"/>
    <w:qFormat/>
    <w:uiPriority w:val="0"/>
    <w:rPr>
      <w:rFonts w:ascii="宋体"/>
      <w:kern w:val="0"/>
      <w:sz w:val="24"/>
      <w:szCs w:val="20"/>
    </w:rPr>
  </w:style>
  <w:style w:type="paragraph" w:customStyle="1" w:styleId="90">
    <w:name w:val="TOC 标题3"/>
    <w:basedOn w:val="3"/>
    <w:next w:val="1"/>
    <w:semiHidden/>
    <w:unhideWhenUsed/>
    <w:qFormat/>
    <w:uiPriority w:val="39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Theme="majorHAnsi" w:hAnsiTheme="majorHAnsi" w:eastAsiaTheme="majorEastAsia" w:cstheme="majorBidi"/>
      <w:bCs/>
      <w:color w:val="366091" w:themeColor="accent1" w:themeShade="BF"/>
      <w:sz w:val="28"/>
      <w:szCs w:val="28"/>
    </w:rPr>
  </w:style>
  <w:style w:type="paragraph" w:customStyle="1" w:styleId="9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9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93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6BB092-74AB-43FD-AA11-3D0DDB6BE7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6</Pages>
  <Words>562</Words>
  <Characters>3210</Characters>
  <Lines>26</Lines>
  <Paragraphs>7</Paragraphs>
  <TotalTime>61</TotalTime>
  <ScaleCrop>false</ScaleCrop>
  <LinksUpToDate>false</LinksUpToDate>
  <CharactersWithSpaces>3765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2021-12-13T09:47:00Z</dcterms:created>
  <dc:creator>邱艳</dc:creator>
  <cp:lastModifiedBy>NTKO</cp:lastModifiedBy>
  <cp:lastPrinted>2021-09-22T03:02:00Z</cp:lastPrinted>
  <dcterms:modified xsi:type="dcterms:W3CDTF">2021-12-14T06:15:16Z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