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360" w:lineRule="auto"/>
        <w:rPr>
          <w:rFonts w:ascii="宋体" w:hAnsi="宋体" w:eastAsia="宋体"/>
          <w:b/>
          <w:sz w:val="44"/>
          <w:szCs w:val="44"/>
        </w:rPr>
      </w:pPr>
      <w:r>
        <w:rPr>
          <w:rFonts w:hint="eastAsia" w:ascii="宋体" w:hAnsi="宋体" w:eastAsia="宋体"/>
          <w:b/>
          <w:sz w:val="44"/>
          <w:szCs w:val="44"/>
        </w:rPr>
        <w:t>比选公告</w:t>
      </w:r>
    </w:p>
    <w:p>
      <w:pPr>
        <w:pStyle w:val="4"/>
        <w:spacing w:line="360" w:lineRule="auto"/>
        <w:ind w:firstLine="480" w:firstLineChars="200"/>
        <w:jc w:val="left"/>
        <w:rPr>
          <w:rFonts w:hAnsi="宋体"/>
          <w:kern w:val="2"/>
          <w:sz w:val="24"/>
          <w:szCs w:val="24"/>
        </w:rPr>
      </w:pPr>
      <w:r>
        <w:rPr>
          <w:rFonts w:hint="eastAsia" w:hAnsi="宋体"/>
          <w:sz w:val="24"/>
          <w:szCs w:val="24"/>
        </w:rPr>
        <w:t>深圳市地铁集团有限公司拟对</w:t>
      </w:r>
      <w:r>
        <w:rPr>
          <w:rFonts w:hint="eastAsia" w:hAnsi="宋体"/>
          <w:b/>
          <w:bCs/>
          <w:sz w:val="24"/>
          <w:szCs w:val="22"/>
          <w:u w:val="single"/>
        </w:rPr>
        <w:t>深铁懿府及深铁阅山境项目土地增值税清算鉴证服务</w:t>
      </w:r>
      <w:r>
        <w:rPr>
          <w:rFonts w:hint="eastAsia" w:hAnsi="宋体"/>
          <w:b/>
          <w:sz w:val="24"/>
          <w:szCs w:val="24"/>
        </w:rPr>
        <w:t>（以下</w:t>
      </w:r>
      <w:r>
        <w:rPr>
          <w:rFonts w:hAnsi="宋体"/>
          <w:b/>
          <w:sz w:val="24"/>
          <w:szCs w:val="24"/>
        </w:rPr>
        <w:t>简称“本项目”）</w:t>
      </w:r>
      <w:r>
        <w:rPr>
          <w:rFonts w:hint="eastAsia" w:hAnsi="宋体"/>
          <w:sz w:val="24"/>
          <w:szCs w:val="24"/>
        </w:rPr>
        <w:t>进行公开比选，欢迎符合本比选公告公布资质要求的单位参加比选。</w:t>
      </w:r>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rPr>
      </w:pPr>
      <w:bookmarkStart w:id="0" w:name="_Toc57731945"/>
      <w:r>
        <w:rPr>
          <w:rFonts w:hint="eastAsia" w:ascii="宋体" w:hAnsi="宋体"/>
          <w:b/>
          <w:kern w:val="0"/>
          <w:sz w:val="24"/>
          <w:szCs w:val="24"/>
        </w:rPr>
        <w:t>一、项目名称</w:t>
      </w:r>
      <w:bookmarkEnd w:id="0"/>
    </w:p>
    <w:p>
      <w:pPr>
        <w:spacing w:line="360" w:lineRule="auto"/>
        <w:ind w:left="479" w:leftChars="228"/>
        <w:rPr>
          <w:rFonts w:ascii="宋体" w:hAnsi="宋体"/>
          <w:sz w:val="24"/>
          <w:szCs w:val="24"/>
        </w:rPr>
      </w:pPr>
      <w:bookmarkStart w:id="1" w:name="_Toc57731946"/>
      <w:r>
        <w:rPr>
          <w:rFonts w:hint="eastAsia" w:ascii="宋体" w:hAnsi="宋体"/>
          <w:sz w:val="24"/>
          <w:szCs w:val="24"/>
        </w:rPr>
        <w:t>深铁懿府及深铁阅山境项目土地增值税清算鉴证服务</w:t>
      </w:r>
    </w:p>
    <w:p>
      <w:pPr>
        <w:spacing w:line="360" w:lineRule="auto"/>
        <w:ind w:left="479" w:leftChars="228"/>
        <w:rPr>
          <w:rFonts w:ascii="宋体" w:hAnsi="宋体"/>
          <w:b/>
          <w:kern w:val="0"/>
          <w:sz w:val="24"/>
          <w:szCs w:val="24"/>
        </w:rPr>
      </w:pPr>
      <w:r>
        <w:rPr>
          <w:rFonts w:hint="eastAsia" w:ascii="宋体" w:hAnsi="宋体"/>
          <w:b/>
          <w:kern w:val="0"/>
          <w:sz w:val="24"/>
          <w:szCs w:val="24"/>
        </w:rPr>
        <w:t>二、比选内容</w:t>
      </w:r>
      <w:bookmarkEnd w:id="1"/>
      <w:bookmarkStart w:id="2" w:name="_Toc57731947"/>
    </w:p>
    <w:p>
      <w:pPr>
        <w:pStyle w:val="7"/>
        <w:ind w:left="0" w:leftChars="0" w:firstLine="480"/>
      </w:pPr>
      <w:r>
        <w:rPr>
          <w:rFonts w:hint="eastAsia" w:hAnsi="宋体"/>
          <w:sz w:val="24"/>
        </w:rPr>
        <w:t>对深铁懿府及深铁阅山境项目提供：</w:t>
      </w:r>
    </w:p>
    <w:p>
      <w:pPr>
        <w:spacing w:line="360" w:lineRule="auto"/>
        <w:ind w:firstLine="240" w:firstLineChars="100"/>
        <w:rPr>
          <w:rFonts w:ascii="宋体" w:hAnsi="宋体"/>
          <w:sz w:val="24"/>
          <w:szCs w:val="24"/>
        </w:rPr>
      </w:pPr>
      <w:r>
        <w:rPr>
          <w:rFonts w:hint="eastAsia" w:ascii="宋体" w:hAnsi="宋体"/>
          <w:sz w:val="24"/>
          <w:szCs w:val="24"/>
        </w:rPr>
        <w:t>（1）按照涉税鉴证准则要求对本项目提供土地增值税清算鉴证服务；</w:t>
      </w:r>
    </w:p>
    <w:p>
      <w:pPr>
        <w:spacing w:line="360" w:lineRule="auto"/>
        <w:ind w:firstLine="240" w:firstLineChars="100"/>
        <w:rPr>
          <w:rFonts w:ascii="宋体" w:hAnsi="宋体"/>
          <w:sz w:val="24"/>
          <w:szCs w:val="24"/>
        </w:rPr>
      </w:pPr>
      <w:r>
        <w:rPr>
          <w:rFonts w:hint="eastAsia" w:ascii="宋体" w:hAnsi="宋体"/>
          <w:sz w:val="24"/>
          <w:szCs w:val="24"/>
        </w:rPr>
        <w:t>（2）提供税务筹划方案；</w:t>
      </w:r>
    </w:p>
    <w:p>
      <w:pPr>
        <w:spacing w:line="360" w:lineRule="auto"/>
        <w:ind w:firstLine="240" w:firstLineChars="100"/>
        <w:rPr>
          <w:rFonts w:ascii="宋体" w:hAnsi="宋体"/>
          <w:sz w:val="24"/>
          <w:szCs w:val="24"/>
        </w:rPr>
      </w:pPr>
      <w:r>
        <w:rPr>
          <w:rFonts w:hint="eastAsia" w:ascii="宋体" w:hAnsi="宋体"/>
          <w:sz w:val="24"/>
          <w:szCs w:val="24"/>
        </w:rPr>
        <w:t>（3）对本项目的前期账务处理进行清理，提供相关账务处理建议；</w:t>
      </w:r>
    </w:p>
    <w:p>
      <w:pPr>
        <w:spacing w:line="360" w:lineRule="auto"/>
        <w:ind w:firstLine="240" w:firstLineChars="100"/>
        <w:rPr>
          <w:rFonts w:ascii="宋体" w:hAnsi="宋体"/>
          <w:sz w:val="24"/>
          <w:szCs w:val="24"/>
        </w:rPr>
      </w:pPr>
      <w:r>
        <w:rPr>
          <w:rFonts w:hint="eastAsia" w:ascii="宋体" w:hAnsi="宋体"/>
          <w:sz w:val="24"/>
          <w:szCs w:val="24"/>
        </w:rPr>
        <w:t>（4）提供税理税法相关信息及报告，出具土地增值税清算税款鉴证报告，配合本项目土增税清算过程中与税务局的沟通事宜；</w:t>
      </w:r>
    </w:p>
    <w:p>
      <w:pPr>
        <w:spacing w:line="360" w:lineRule="auto"/>
        <w:ind w:firstLine="240" w:firstLineChars="100"/>
        <w:rPr>
          <w:rFonts w:ascii="宋体" w:hAnsi="宋体"/>
          <w:sz w:val="24"/>
          <w:szCs w:val="24"/>
        </w:rPr>
      </w:pPr>
      <w:r>
        <w:rPr>
          <w:rFonts w:hint="eastAsia" w:ascii="宋体" w:hAnsi="宋体"/>
          <w:sz w:val="24"/>
          <w:szCs w:val="24"/>
        </w:rPr>
        <w:t>（5）对本项目成本进行分析，对于清算提供合理化建议；</w:t>
      </w:r>
    </w:p>
    <w:p>
      <w:pPr>
        <w:spacing w:line="360" w:lineRule="auto"/>
        <w:ind w:firstLine="240" w:firstLineChars="100"/>
        <w:rPr>
          <w:rFonts w:ascii="宋体" w:hAnsi="宋体"/>
          <w:sz w:val="24"/>
          <w:szCs w:val="24"/>
        </w:rPr>
      </w:pPr>
      <w:r>
        <w:rPr>
          <w:rFonts w:hint="eastAsia" w:ascii="宋体" w:hAnsi="宋体"/>
          <w:sz w:val="24"/>
          <w:szCs w:val="24"/>
        </w:rPr>
        <w:t>（6）对本项目后续涉及的税务问题提供税务咨询；</w:t>
      </w:r>
    </w:p>
    <w:p>
      <w:pPr>
        <w:tabs>
          <w:tab w:val="left" w:pos="1260"/>
        </w:tabs>
        <w:spacing w:line="360" w:lineRule="auto"/>
        <w:ind w:firstLine="240" w:firstLineChars="100"/>
        <w:rPr>
          <w:rFonts w:ascii="宋体" w:hAnsi="宋体"/>
          <w:sz w:val="24"/>
          <w:szCs w:val="24"/>
          <w:highlight w:val="yellow"/>
        </w:rPr>
      </w:pPr>
      <w:r>
        <w:rPr>
          <w:rFonts w:hint="eastAsia" w:ascii="宋体" w:hAnsi="宋体"/>
          <w:sz w:val="24"/>
          <w:szCs w:val="24"/>
        </w:rPr>
        <w:t>（7）及时提供及更新相关税务法规及政策，对相关工作给予税务指导。</w:t>
      </w:r>
    </w:p>
    <w:p>
      <w:pPr>
        <w:keepNext/>
        <w:keepLines/>
        <w:tabs>
          <w:tab w:val="left" w:pos="1260"/>
        </w:tabs>
        <w:adjustRightInd w:val="0"/>
        <w:spacing w:before="260" w:after="260" w:line="360" w:lineRule="auto"/>
        <w:ind w:firstLine="482" w:firstLineChars="200"/>
        <w:textAlignment w:val="baseline"/>
        <w:outlineLvl w:val="2"/>
        <w:rPr>
          <w:rFonts w:ascii="宋体" w:hAnsi="宋体"/>
          <w:b/>
          <w:kern w:val="0"/>
          <w:sz w:val="24"/>
          <w:szCs w:val="24"/>
        </w:rPr>
      </w:pPr>
      <w:r>
        <w:rPr>
          <w:rFonts w:hint="eastAsia" w:ascii="宋体" w:hAnsi="宋体"/>
          <w:b/>
          <w:kern w:val="0"/>
          <w:sz w:val="24"/>
          <w:szCs w:val="24"/>
        </w:rPr>
        <w:t>三、比选控制价格</w:t>
      </w:r>
      <w:bookmarkEnd w:id="2"/>
    </w:p>
    <w:p>
      <w:pPr>
        <w:pStyle w:val="4"/>
        <w:spacing w:line="360" w:lineRule="auto"/>
        <w:ind w:firstLine="480" w:firstLineChars="200"/>
        <w:jc w:val="left"/>
        <w:rPr>
          <w:rFonts w:hAnsi="宋体"/>
          <w:kern w:val="2"/>
          <w:sz w:val="24"/>
          <w:szCs w:val="24"/>
        </w:rPr>
      </w:pPr>
      <w:r>
        <w:rPr>
          <w:rFonts w:hint="eastAsia" w:hAnsi="宋体"/>
          <w:sz w:val="24"/>
          <w:szCs w:val="24"/>
        </w:rPr>
        <w:t>深铁懿府及深铁阅山境项目土地增值税清算鉴证服务</w:t>
      </w:r>
      <w:r>
        <w:rPr>
          <w:rFonts w:hint="eastAsia" w:hAnsi="宋体" w:cs="宋体"/>
          <w:bCs/>
          <w:kern w:val="2"/>
          <w:sz w:val="24"/>
          <w:szCs w:val="24"/>
        </w:rPr>
        <w:t xml:space="preserve">上限价为 </w:t>
      </w:r>
      <w:r>
        <w:rPr>
          <w:rFonts w:hAnsi="宋体" w:cs="宋体"/>
          <w:bCs/>
          <w:kern w:val="2"/>
          <w:sz w:val="24"/>
          <w:szCs w:val="24"/>
        </w:rPr>
        <w:t>150</w:t>
      </w:r>
      <w:r>
        <w:rPr>
          <w:rFonts w:hint="eastAsia" w:hAnsi="宋体" w:cs="宋体"/>
          <w:bCs/>
          <w:kern w:val="2"/>
          <w:sz w:val="24"/>
          <w:szCs w:val="24"/>
        </w:rPr>
        <w:t xml:space="preserve"> 万元（含税），</w:t>
      </w:r>
      <w:r>
        <w:rPr>
          <w:rFonts w:hAnsi="宋体" w:cs="宋体"/>
          <w:bCs/>
          <w:kern w:val="2"/>
          <w:sz w:val="24"/>
          <w:szCs w:val="24"/>
        </w:rPr>
        <w:t>其中深铁懿府项目</w:t>
      </w:r>
      <w:r>
        <w:rPr>
          <w:rFonts w:hint="eastAsia" w:hAnsi="宋体"/>
          <w:sz w:val="24"/>
          <w:szCs w:val="24"/>
        </w:rPr>
        <w:t>土地增值税清算鉴证服务</w:t>
      </w:r>
      <w:r>
        <w:rPr>
          <w:rFonts w:hint="eastAsia" w:hAnsi="宋体" w:cs="宋体"/>
          <w:bCs/>
          <w:kern w:val="2"/>
          <w:sz w:val="24"/>
          <w:szCs w:val="24"/>
        </w:rPr>
        <w:t>上限</w:t>
      </w:r>
      <w:r>
        <w:rPr>
          <w:rFonts w:hAnsi="宋体" w:cs="宋体"/>
          <w:bCs/>
          <w:kern w:val="2"/>
          <w:sz w:val="24"/>
          <w:szCs w:val="24"/>
        </w:rPr>
        <w:t>价</w:t>
      </w:r>
      <w:r>
        <w:rPr>
          <w:rFonts w:hint="eastAsia" w:hAnsi="宋体" w:cs="宋体"/>
          <w:bCs/>
          <w:kern w:val="2"/>
          <w:sz w:val="24"/>
          <w:szCs w:val="24"/>
        </w:rPr>
        <w:t>为100万元（含税）</w:t>
      </w:r>
      <w:r>
        <w:rPr>
          <w:rFonts w:hAnsi="宋体" w:cs="宋体"/>
          <w:bCs/>
          <w:kern w:val="2"/>
          <w:sz w:val="24"/>
          <w:szCs w:val="24"/>
        </w:rPr>
        <w:t>，深铁阅山境</w:t>
      </w:r>
      <w:r>
        <w:rPr>
          <w:rFonts w:hint="eastAsia" w:hAnsi="宋体"/>
          <w:sz w:val="24"/>
          <w:szCs w:val="24"/>
        </w:rPr>
        <w:t>土地增值税清算鉴证服务上限价为</w:t>
      </w:r>
      <w:r>
        <w:rPr>
          <w:rFonts w:hint="eastAsia" w:hAnsi="宋体" w:cs="宋体"/>
          <w:bCs/>
          <w:kern w:val="2"/>
          <w:sz w:val="24"/>
          <w:szCs w:val="24"/>
        </w:rPr>
        <w:t>50万元（含税）。</w:t>
      </w:r>
    </w:p>
    <w:p>
      <w:pPr>
        <w:keepNext/>
        <w:keepLines/>
        <w:tabs>
          <w:tab w:val="left" w:pos="1260"/>
        </w:tabs>
        <w:adjustRightInd w:val="0"/>
        <w:spacing w:before="260" w:after="260" w:line="360" w:lineRule="auto"/>
        <w:ind w:firstLine="482" w:firstLineChars="200"/>
        <w:textAlignment w:val="baseline"/>
        <w:outlineLvl w:val="2"/>
        <w:rPr>
          <w:rFonts w:ascii="宋体" w:hAnsi="宋体"/>
          <w:b/>
          <w:kern w:val="0"/>
          <w:sz w:val="24"/>
          <w:szCs w:val="24"/>
        </w:rPr>
      </w:pPr>
      <w:bookmarkStart w:id="3" w:name="_Toc57731948"/>
      <w:r>
        <w:rPr>
          <w:rFonts w:hint="eastAsia" w:ascii="宋体" w:hAnsi="宋体"/>
          <w:b/>
          <w:kern w:val="0"/>
          <w:sz w:val="24"/>
          <w:szCs w:val="24"/>
        </w:rPr>
        <w:t>四、参选人资格要求</w:t>
      </w:r>
      <w:bookmarkEnd w:id="3"/>
    </w:p>
    <w:p>
      <w:pPr>
        <w:spacing w:line="360" w:lineRule="auto"/>
        <w:ind w:firstLine="480" w:firstLineChars="200"/>
        <w:jc w:val="left"/>
        <w:rPr>
          <w:rFonts w:hAnsi="宋体"/>
          <w:kern w:val="0"/>
          <w:sz w:val="24"/>
          <w:szCs w:val="24"/>
        </w:rPr>
      </w:pPr>
      <w:r>
        <w:rPr>
          <w:rFonts w:hint="eastAsia" w:hAnsi="宋体"/>
          <w:kern w:val="0"/>
          <w:sz w:val="24"/>
          <w:szCs w:val="24"/>
        </w:rPr>
        <w:t>参选人资质要求：</w:t>
      </w:r>
    </w:p>
    <w:p>
      <w:pPr>
        <w:spacing w:line="560" w:lineRule="exact"/>
        <w:ind w:right="-296" w:rightChars="-141" w:firstLine="427" w:firstLineChars="178"/>
        <w:rPr>
          <w:rFonts w:ascii="宋体" w:hAnsi="宋体"/>
          <w:color w:val="0D0D0D"/>
          <w:kern w:val="0"/>
          <w:sz w:val="24"/>
          <w:szCs w:val="24"/>
        </w:rPr>
      </w:pPr>
      <w:bookmarkStart w:id="4" w:name="_Hlk77372483"/>
      <w:bookmarkStart w:id="5" w:name="_Toc57731949"/>
      <w:r>
        <w:rPr>
          <w:rFonts w:hint="eastAsia" w:ascii="宋体" w:hAnsi="宋体"/>
          <w:color w:val="0D0D0D"/>
          <w:kern w:val="0"/>
          <w:sz w:val="24"/>
          <w:szCs w:val="24"/>
        </w:rPr>
        <w:t>（一）成立时间：参选人须为2018年10月1日之前成立的税务师事务所。</w:t>
      </w:r>
    </w:p>
    <w:p>
      <w:pPr>
        <w:spacing w:line="560" w:lineRule="exact"/>
        <w:ind w:right="-296" w:rightChars="-141" w:firstLine="427" w:firstLineChars="178"/>
        <w:rPr>
          <w:rFonts w:ascii="宋体" w:hAnsi="宋体"/>
          <w:color w:val="0D0D0D"/>
          <w:kern w:val="0"/>
          <w:sz w:val="24"/>
          <w:szCs w:val="24"/>
        </w:rPr>
      </w:pPr>
      <w:r>
        <w:rPr>
          <w:rFonts w:hint="eastAsia" w:ascii="宋体" w:hAnsi="宋体"/>
          <w:color w:val="0D0D0D"/>
          <w:kern w:val="0"/>
          <w:sz w:val="24"/>
          <w:szCs w:val="24"/>
        </w:rPr>
        <w:t>（二）执业资质：具备涉税鉴证服务执业资质。</w:t>
      </w:r>
    </w:p>
    <w:p>
      <w:pPr>
        <w:spacing w:line="560" w:lineRule="exact"/>
        <w:ind w:right="-296" w:rightChars="-141" w:firstLine="427" w:firstLineChars="178"/>
        <w:rPr>
          <w:rFonts w:ascii="宋体" w:hAnsi="宋体"/>
          <w:color w:val="0D0D0D"/>
          <w:kern w:val="0"/>
          <w:sz w:val="24"/>
          <w:szCs w:val="24"/>
        </w:rPr>
      </w:pPr>
      <w:r>
        <w:rPr>
          <w:rFonts w:hint="eastAsia" w:ascii="宋体" w:hAnsi="宋体"/>
          <w:color w:val="0D0D0D"/>
          <w:kern w:val="0"/>
          <w:sz w:val="24"/>
          <w:szCs w:val="24"/>
        </w:rPr>
        <w:t>（三）2019-2020年年检合格且未因违法违规行为而被有关部门处理(</w:t>
      </w:r>
      <w:r>
        <w:rPr>
          <w:rFonts w:ascii="宋体" w:hAnsi="宋体"/>
          <w:color w:val="0D0D0D"/>
          <w:kern w:val="0"/>
          <w:sz w:val="24"/>
          <w:szCs w:val="24"/>
        </w:rPr>
        <w:t>以在第三方网站查询结果为准</w:t>
      </w:r>
      <w:r>
        <w:rPr>
          <w:rFonts w:hint="eastAsia" w:ascii="宋体" w:hAnsi="宋体"/>
          <w:color w:val="0D0D0D"/>
          <w:kern w:val="0"/>
          <w:sz w:val="24"/>
          <w:szCs w:val="24"/>
        </w:rPr>
        <w:t>)。</w:t>
      </w:r>
    </w:p>
    <w:p>
      <w:pPr>
        <w:spacing w:line="560" w:lineRule="exact"/>
        <w:ind w:right="-296" w:rightChars="-141" w:firstLine="427" w:firstLineChars="178"/>
        <w:rPr>
          <w:rFonts w:ascii="宋体" w:hAnsi="宋体"/>
          <w:color w:val="0D0D0D"/>
          <w:kern w:val="0"/>
          <w:sz w:val="24"/>
          <w:szCs w:val="24"/>
        </w:rPr>
      </w:pPr>
      <w:r>
        <w:rPr>
          <w:rFonts w:hint="eastAsia" w:ascii="宋体" w:hAnsi="宋体"/>
          <w:color w:val="0D0D0D"/>
          <w:kern w:val="0"/>
          <w:sz w:val="24"/>
          <w:szCs w:val="24"/>
        </w:rPr>
        <w:t>（四）参选人须为独立法人或合伙企业。</w:t>
      </w:r>
    </w:p>
    <w:p>
      <w:pPr>
        <w:spacing w:line="560" w:lineRule="exact"/>
        <w:ind w:right="-296" w:rightChars="-141" w:firstLine="427" w:firstLineChars="178"/>
        <w:rPr>
          <w:rFonts w:ascii="宋体" w:hAnsi="宋体"/>
          <w:color w:val="0D0D0D"/>
          <w:kern w:val="0"/>
          <w:sz w:val="24"/>
          <w:szCs w:val="24"/>
        </w:rPr>
      </w:pPr>
      <w:r>
        <w:rPr>
          <w:rFonts w:hint="eastAsia" w:ascii="宋体" w:hAnsi="宋体"/>
          <w:color w:val="0D0D0D"/>
          <w:kern w:val="0"/>
          <w:sz w:val="24"/>
          <w:szCs w:val="24"/>
        </w:rPr>
        <w:t>（五）</w:t>
      </w:r>
      <w:r>
        <w:rPr>
          <w:rFonts w:ascii="宋体" w:hAnsi="宋体"/>
          <w:color w:val="0D0D0D"/>
          <w:kern w:val="0"/>
          <w:sz w:val="24"/>
          <w:szCs w:val="24"/>
        </w:rPr>
        <w:t>2018</w:t>
      </w:r>
      <w:r>
        <w:rPr>
          <w:rFonts w:hint="eastAsia" w:ascii="宋体" w:hAnsi="宋体"/>
          <w:color w:val="0D0D0D"/>
          <w:kern w:val="0"/>
          <w:sz w:val="24"/>
          <w:szCs w:val="24"/>
        </w:rPr>
        <w:t>年</w:t>
      </w:r>
      <w:r>
        <w:rPr>
          <w:rFonts w:ascii="宋体" w:hAnsi="宋体"/>
          <w:color w:val="0D0D0D"/>
          <w:kern w:val="0"/>
          <w:sz w:val="24"/>
          <w:szCs w:val="24"/>
        </w:rPr>
        <w:t>10</w:t>
      </w:r>
      <w:r>
        <w:rPr>
          <w:rFonts w:hint="eastAsia" w:ascii="宋体" w:hAnsi="宋体"/>
          <w:color w:val="0D0D0D"/>
          <w:kern w:val="0"/>
          <w:sz w:val="24"/>
          <w:szCs w:val="24"/>
        </w:rPr>
        <w:t>月</w:t>
      </w:r>
      <w:r>
        <w:rPr>
          <w:rFonts w:ascii="宋体" w:hAnsi="宋体"/>
          <w:color w:val="0D0D0D"/>
          <w:kern w:val="0"/>
          <w:sz w:val="24"/>
          <w:szCs w:val="24"/>
        </w:rPr>
        <w:t>1</w:t>
      </w:r>
      <w:r>
        <w:rPr>
          <w:rFonts w:hint="eastAsia" w:ascii="宋体" w:hAnsi="宋体"/>
          <w:color w:val="0D0D0D"/>
          <w:kern w:val="0"/>
          <w:sz w:val="24"/>
          <w:szCs w:val="24"/>
        </w:rPr>
        <w:t>日以来(以合同签约日期为准)，具有在深圳从事土地增值税清算经验5个项目以上。</w:t>
      </w:r>
    </w:p>
    <w:p>
      <w:pPr>
        <w:suppressAutoHyphens/>
        <w:topLinePunct/>
        <w:snapToGrid w:val="0"/>
        <w:spacing w:line="360" w:lineRule="auto"/>
        <w:ind w:firstLine="480" w:firstLineChars="200"/>
        <w:contextualSpacing/>
        <w:rPr>
          <w:rFonts w:ascii="宋体" w:hAnsi="宋体"/>
          <w:color w:val="0D0D0D"/>
          <w:kern w:val="0"/>
          <w:sz w:val="24"/>
          <w:szCs w:val="24"/>
        </w:rPr>
      </w:pPr>
      <w:r>
        <w:rPr>
          <w:rFonts w:hint="eastAsia" w:ascii="宋体" w:hAnsi="宋体"/>
          <w:color w:val="0D0D0D"/>
          <w:kern w:val="0"/>
          <w:sz w:val="24"/>
          <w:szCs w:val="24"/>
        </w:rPr>
        <w:t>（六）中国注册税务师协会认定的AAA级以上（含AAA级）（2019年1月1日后授予）。</w:t>
      </w:r>
    </w:p>
    <w:p>
      <w:pPr>
        <w:spacing w:line="360" w:lineRule="auto"/>
        <w:ind w:firstLine="360" w:firstLineChars="150"/>
        <w:rPr>
          <w:rFonts w:ascii="宋体" w:hAnsi="宋体"/>
          <w:color w:val="0D0D0D"/>
          <w:kern w:val="0"/>
          <w:sz w:val="24"/>
          <w:szCs w:val="24"/>
        </w:rPr>
      </w:pPr>
      <w:r>
        <w:rPr>
          <w:rFonts w:hint="eastAsia" w:ascii="宋体" w:hAnsi="宋体"/>
          <w:color w:val="0D0D0D"/>
          <w:kern w:val="0"/>
          <w:sz w:val="24"/>
          <w:szCs w:val="24"/>
        </w:rPr>
        <w:t>（七）不接受联合体参选。</w:t>
      </w:r>
    </w:p>
    <w:p>
      <w:pPr>
        <w:spacing w:line="360" w:lineRule="auto"/>
        <w:ind w:firstLine="480" w:firstLineChars="200"/>
        <w:rPr>
          <w:rFonts w:ascii="宋体" w:hAnsi="宋体"/>
          <w:kern w:val="0"/>
          <w:sz w:val="24"/>
          <w:szCs w:val="24"/>
        </w:rPr>
      </w:pPr>
      <w:r>
        <w:rPr>
          <w:rFonts w:hint="eastAsia" w:ascii="宋体" w:hAnsi="宋体"/>
          <w:kern w:val="0"/>
          <w:sz w:val="24"/>
          <w:szCs w:val="24"/>
        </w:rPr>
        <w:t>（八）不被接受的情形：</w:t>
      </w:r>
    </w:p>
    <w:p>
      <w:pPr>
        <w:spacing w:line="360" w:lineRule="auto"/>
        <w:ind w:firstLine="480" w:firstLineChars="200"/>
        <w:rPr>
          <w:rFonts w:ascii="宋体" w:hAnsi="宋体"/>
          <w:kern w:val="0"/>
          <w:sz w:val="24"/>
          <w:szCs w:val="24"/>
        </w:rPr>
      </w:pPr>
      <w:r>
        <w:rPr>
          <w:rFonts w:hint="eastAsia" w:ascii="宋体" w:hAnsi="宋体"/>
          <w:kern w:val="0"/>
          <w:sz w:val="24"/>
          <w:szCs w:val="24"/>
        </w:rPr>
        <w:t>1.自截标前三年以来在深圳市地铁集团有限公司或其下属直管单位存在违约行为的参选人；</w:t>
      </w:r>
    </w:p>
    <w:p>
      <w:pPr>
        <w:spacing w:line="360" w:lineRule="auto"/>
        <w:ind w:firstLine="480" w:firstLineChars="200"/>
        <w:rPr>
          <w:rFonts w:ascii="宋体" w:hAnsi="宋体"/>
          <w:kern w:val="0"/>
          <w:sz w:val="24"/>
          <w:szCs w:val="24"/>
        </w:rPr>
      </w:pPr>
      <w:r>
        <w:rPr>
          <w:rFonts w:hint="eastAsia" w:ascii="宋体" w:hAnsi="宋体"/>
          <w:kern w:val="0"/>
          <w:sz w:val="24"/>
          <w:szCs w:val="24"/>
        </w:rPr>
        <w:t>2.自截标前三年以来与深圳市地铁集团有限公司或其下属直管单位有过诉讼、仲裁史，且其诉讼请求、仲裁申请或辩论理由没有被法院、仲裁庭支持的；</w:t>
      </w:r>
    </w:p>
    <w:p>
      <w:pPr>
        <w:spacing w:line="360" w:lineRule="auto"/>
        <w:ind w:firstLine="480" w:firstLineChars="200"/>
        <w:rPr>
          <w:rFonts w:ascii="宋体" w:hAnsi="宋体"/>
          <w:kern w:val="0"/>
          <w:sz w:val="24"/>
          <w:szCs w:val="24"/>
        </w:rPr>
      </w:pPr>
      <w:r>
        <w:rPr>
          <w:rFonts w:hint="eastAsia" w:ascii="宋体" w:hAnsi="宋体"/>
          <w:kern w:val="0"/>
          <w:sz w:val="24"/>
          <w:szCs w:val="24"/>
        </w:rPr>
        <w:t>3.正与深圳市地铁集团有限公司及下属单位进行诉讼、仲裁，且在截标之日前未达成和解或纠纷化解的；</w:t>
      </w:r>
    </w:p>
    <w:p>
      <w:pPr>
        <w:spacing w:line="360" w:lineRule="auto"/>
        <w:ind w:firstLine="480" w:firstLineChars="200"/>
        <w:rPr>
          <w:rFonts w:ascii="宋体" w:hAnsi="宋体"/>
          <w:kern w:val="0"/>
          <w:sz w:val="24"/>
          <w:szCs w:val="24"/>
        </w:rPr>
      </w:pPr>
      <w:r>
        <w:rPr>
          <w:rFonts w:hint="eastAsia" w:ascii="宋体" w:hAnsi="宋体"/>
          <w:kern w:val="0"/>
          <w:sz w:val="24"/>
          <w:szCs w:val="24"/>
        </w:rPr>
        <w:t>4.在参选（询价）活动（包括在深圳地铁项目）中因串通参选（报价）被暂停参选（报价）资格期间；或涉嫌串通参选（报价）并正在接受主管部门调查的；</w:t>
      </w:r>
    </w:p>
    <w:p>
      <w:pPr>
        <w:spacing w:line="360" w:lineRule="auto"/>
        <w:ind w:firstLine="480" w:firstLineChars="200"/>
        <w:rPr>
          <w:rFonts w:ascii="宋体" w:hAnsi="宋体"/>
          <w:kern w:val="0"/>
          <w:sz w:val="24"/>
          <w:szCs w:val="24"/>
        </w:rPr>
      </w:pPr>
      <w:r>
        <w:rPr>
          <w:rFonts w:hint="eastAsia" w:ascii="宋体" w:hAnsi="宋体"/>
          <w:kern w:val="0"/>
          <w:sz w:val="24"/>
          <w:szCs w:val="24"/>
        </w:rPr>
        <w:t>5.自截标前三年以来在深圳市地铁集团有限公司及下属单位在参选过程中、合同履约过程中有不良行为记录，或者有对深圳市地铁集团有限公司声誉造成损害行为的。</w:t>
      </w:r>
    </w:p>
    <w:p>
      <w:pPr>
        <w:spacing w:line="360" w:lineRule="auto"/>
        <w:ind w:firstLine="480" w:firstLineChars="200"/>
        <w:rPr>
          <w:rFonts w:ascii="宋体" w:hAnsi="宋体"/>
          <w:kern w:val="0"/>
          <w:sz w:val="24"/>
          <w:szCs w:val="24"/>
        </w:rPr>
      </w:pPr>
      <w:r>
        <w:rPr>
          <w:rFonts w:hint="eastAsia" w:ascii="宋体" w:hAnsi="宋体"/>
          <w:kern w:val="0"/>
          <w:sz w:val="24"/>
          <w:szCs w:val="24"/>
        </w:rPr>
        <w:t>（九）本项目不接受联合体参选：单位负责人为同一人或者存在控股、管理关系的不同单位，不得参加同一项目比选。</w:t>
      </w:r>
    </w:p>
    <w:bookmarkEnd w:id="4"/>
    <w:p>
      <w:pPr>
        <w:spacing w:line="360" w:lineRule="auto"/>
        <w:ind w:firstLine="482" w:firstLineChars="200"/>
        <w:rPr>
          <w:rFonts w:ascii="宋体" w:hAnsi="宋体"/>
          <w:b/>
          <w:kern w:val="0"/>
          <w:sz w:val="24"/>
          <w:szCs w:val="24"/>
        </w:rPr>
      </w:pPr>
      <w:r>
        <w:rPr>
          <w:rFonts w:hint="eastAsia" w:ascii="宋体" w:hAnsi="宋体"/>
          <w:b/>
          <w:kern w:val="0"/>
          <w:sz w:val="24"/>
          <w:szCs w:val="24"/>
        </w:rPr>
        <w:t>五、参选时间、</w:t>
      </w:r>
      <w:r>
        <w:rPr>
          <w:rFonts w:ascii="宋体" w:hAnsi="宋体"/>
          <w:b/>
          <w:kern w:val="0"/>
          <w:sz w:val="24"/>
          <w:szCs w:val="24"/>
        </w:rPr>
        <w:t>地点</w:t>
      </w:r>
      <w:bookmarkEnd w:id="5"/>
    </w:p>
    <w:tbl>
      <w:tblPr>
        <w:tblStyle w:val="8"/>
        <w:tblW w:w="972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612"/>
        <w:gridCol w:w="1418"/>
        <w:gridCol w:w="2551"/>
        <w:gridCol w:w="514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0" w:hRule="atLeast"/>
          <w:jc w:val="center"/>
        </w:trPr>
        <w:tc>
          <w:tcPr>
            <w:tcW w:w="612" w:type="dxa"/>
            <w:tcBorders>
              <w:top w:val="single" w:color="auto" w:sz="4" w:space="0"/>
              <w:left w:val="single" w:color="auto" w:sz="4" w:space="0"/>
              <w:bottom w:val="single" w:color="auto" w:sz="4" w:space="0"/>
              <w:right w:val="single" w:color="auto" w:sz="4" w:space="0"/>
            </w:tcBorders>
            <w:shd w:val="clear" w:color="auto" w:fill="808080"/>
          </w:tcPr>
          <w:p>
            <w:pPr>
              <w:pStyle w:val="3"/>
              <w:adjustRightInd w:val="0"/>
              <w:snapToGrid w:val="0"/>
              <w:spacing w:line="240" w:lineRule="auto"/>
              <w:ind w:left="0" w:leftChars="0" w:firstLine="0" w:firstLineChars="0"/>
              <w:jc w:val="center"/>
              <w:rPr>
                <w:rFonts w:ascii="宋体" w:hAnsi="宋体" w:cs="宋体"/>
                <w:bCs/>
                <w:color w:val="FFFFFF"/>
                <w:kern w:val="2"/>
                <w:sz w:val="21"/>
                <w:szCs w:val="21"/>
              </w:rPr>
            </w:pPr>
            <w:r>
              <w:rPr>
                <w:rFonts w:hint="eastAsia" w:ascii="宋体" w:hAnsi="宋体" w:cs="宋体"/>
                <w:bCs/>
                <w:color w:val="FFFFFF"/>
                <w:kern w:val="2"/>
                <w:sz w:val="21"/>
                <w:szCs w:val="21"/>
              </w:rPr>
              <w:t>序号</w:t>
            </w:r>
          </w:p>
        </w:tc>
        <w:tc>
          <w:tcPr>
            <w:tcW w:w="1418" w:type="dxa"/>
            <w:tcBorders>
              <w:top w:val="single" w:color="auto" w:sz="4" w:space="0"/>
              <w:left w:val="single" w:color="auto" w:sz="4" w:space="0"/>
              <w:bottom w:val="single" w:color="auto" w:sz="4" w:space="0"/>
              <w:right w:val="single" w:color="auto" w:sz="4" w:space="0"/>
            </w:tcBorders>
            <w:shd w:val="clear" w:color="auto" w:fill="808080"/>
          </w:tcPr>
          <w:p>
            <w:pPr>
              <w:pStyle w:val="3"/>
              <w:adjustRightInd w:val="0"/>
              <w:snapToGrid w:val="0"/>
              <w:spacing w:line="240" w:lineRule="auto"/>
              <w:ind w:left="0" w:leftChars="0" w:firstLine="0" w:firstLineChars="0"/>
              <w:jc w:val="center"/>
              <w:rPr>
                <w:rFonts w:ascii="宋体" w:hAnsi="宋体" w:cs="宋体"/>
                <w:bCs/>
                <w:color w:val="FFFFFF"/>
                <w:kern w:val="2"/>
                <w:sz w:val="21"/>
                <w:szCs w:val="21"/>
              </w:rPr>
            </w:pPr>
            <w:r>
              <w:rPr>
                <w:rFonts w:hint="eastAsia" w:ascii="宋体" w:hAnsi="宋体" w:cs="宋体"/>
                <w:bCs/>
                <w:color w:val="FFFFFF"/>
                <w:kern w:val="2"/>
                <w:sz w:val="21"/>
                <w:szCs w:val="21"/>
              </w:rPr>
              <w:t>内  容</w:t>
            </w:r>
          </w:p>
        </w:tc>
        <w:tc>
          <w:tcPr>
            <w:tcW w:w="2551" w:type="dxa"/>
            <w:tcBorders>
              <w:top w:val="single" w:color="auto" w:sz="4" w:space="0"/>
              <w:left w:val="single" w:color="auto" w:sz="4" w:space="0"/>
              <w:bottom w:val="single" w:color="auto" w:sz="4" w:space="0"/>
              <w:right w:val="single" w:color="auto" w:sz="4" w:space="0"/>
            </w:tcBorders>
            <w:shd w:val="clear" w:color="auto" w:fill="808080"/>
          </w:tcPr>
          <w:p>
            <w:pPr>
              <w:pStyle w:val="3"/>
              <w:adjustRightInd w:val="0"/>
              <w:snapToGrid w:val="0"/>
              <w:spacing w:line="240" w:lineRule="auto"/>
              <w:ind w:left="0" w:leftChars="0" w:firstLine="0" w:firstLineChars="0"/>
              <w:jc w:val="center"/>
              <w:rPr>
                <w:rFonts w:ascii="宋体" w:hAnsi="宋体" w:cs="宋体"/>
                <w:bCs/>
                <w:color w:val="FFFFFF"/>
                <w:kern w:val="2"/>
                <w:sz w:val="21"/>
                <w:szCs w:val="21"/>
              </w:rPr>
            </w:pPr>
            <w:r>
              <w:rPr>
                <w:rFonts w:hint="eastAsia" w:ascii="宋体" w:hAnsi="宋体" w:cs="宋体"/>
                <w:bCs/>
                <w:color w:val="FFFFFF"/>
                <w:kern w:val="2"/>
                <w:sz w:val="21"/>
                <w:szCs w:val="21"/>
              </w:rPr>
              <w:t>时间安排</w:t>
            </w:r>
          </w:p>
        </w:tc>
        <w:tc>
          <w:tcPr>
            <w:tcW w:w="5146" w:type="dxa"/>
            <w:tcBorders>
              <w:top w:val="single" w:color="auto" w:sz="4" w:space="0"/>
              <w:left w:val="single" w:color="auto" w:sz="4" w:space="0"/>
              <w:bottom w:val="single" w:color="auto" w:sz="4" w:space="0"/>
              <w:right w:val="single" w:color="auto" w:sz="4" w:space="0"/>
            </w:tcBorders>
            <w:shd w:val="clear" w:color="auto" w:fill="808080"/>
          </w:tcPr>
          <w:p>
            <w:pPr>
              <w:pStyle w:val="3"/>
              <w:adjustRightInd w:val="0"/>
              <w:snapToGrid w:val="0"/>
              <w:spacing w:line="240" w:lineRule="auto"/>
              <w:ind w:left="0" w:leftChars="0" w:firstLine="0" w:firstLineChars="0"/>
              <w:jc w:val="center"/>
              <w:rPr>
                <w:rFonts w:ascii="宋体" w:hAnsi="宋体" w:cs="宋体"/>
                <w:bCs/>
                <w:color w:val="FFFFFF"/>
                <w:kern w:val="2"/>
                <w:sz w:val="21"/>
                <w:szCs w:val="21"/>
              </w:rPr>
            </w:pPr>
            <w:r>
              <w:rPr>
                <w:rFonts w:hint="eastAsia" w:ascii="宋体" w:hAnsi="宋体" w:cs="宋体"/>
                <w:bCs/>
                <w:color w:val="FFFFFF"/>
                <w:kern w:val="2"/>
                <w:sz w:val="21"/>
                <w:szCs w:val="21"/>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03" w:hRule="atLeast"/>
          <w:jc w:val="center"/>
        </w:trPr>
        <w:tc>
          <w:tcPr>
            <w:tcW w:w="612"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宋体" w:hAnsi="宋体" w:cs="宋体"/>
                <w:bCs/>
                <w:kern w:val="2"/>
                <w:sz w:val="21"/>
                <w:szCs w:val="21"/>
              </w:rPr>
            </w:pPr>
            <w:r>
              <w:rPr>
                <w:rFonts w:hint="eastAsia" w:ascii="宋体" w:hAnsi="宋体" w:cs="宋体"/>
                <w:bCs/>
                <w:kern w:val="2"/>
                <w:sz w:val="21"/>
                <w:szCs w:val="21"/>
              </w:rPr>
              <w:t>1</w:t>
            </w:r>
          </w:p>
        </w:tc>
        <w:tc>
          <w:tcPr>
            <w:tcW w:w="1418"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宋体" w:hAnsi="宋体" w:cs="宋体"/>
                <w:bCs/>
                <w:kern w:val="2"/>
                <w:sz w:val="21"/>
                <w:szCs w:val="21"/>
              </w:rPr>
            </w:pPr>
            <w:r>
              <w:rPr>
                <w:rFonts w:hint="eastAsia" w:ascii="宋体" w:hAnsi="宋体" w:cs="宋体"/>
                <w:bCs/>
                <w:kern w:val="2"/>
                <w:sz w:val="21"/>
                <w:szCs w:val="21"/>
              </w:rPr>
              <w:t>发布比选公告</w:t>
            </w:r>
          </w:p>
          <w:p>
            <w:pPr>
              <w:pStyle w:val="3"/>
              <w:adjustRightInd w:val="0"/>
              <w:snapToGrid w:val="0"/>
              <w:spacing w:line="240" w:lineRule="auto"/>
              <w:ind w:left="0" w:leftChars="0" w:firstLine="0" w:firstLineChars="0"/>
              <w:jc w:val="center"/>
              <w:rPr>
                <w:rFonts w:ascii="宋体" w:hAnsi="宋体" w:cs="宋体"/>
                <w:bCs/>
                <w:kern w:val="2"/>
                <w:sz w:val="21"/>
                <w:szCs w:val="21"/>
              </w:rPr>
            </w:pPr>
            <w:r>
              <w:rPr>
                <w:rFonts w:hint="eastAsia" w:ascii="宋体" w:hAnsi="宋体" w:cs="宋体"/>
                <w:bCs/>
                <w:kern w:val="2"/>
                <w:sz w:val="21"/>
                <w:szCs w:val="21"/>
              </w:rPr>
              <w:t>（发标）</w:t>
            </w:r>
          </w:p>
        </w:tc>
        <w:tc>
          <w:tcPr>
            <w:tcW w:w="255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cs="宋体"/>
                <w:bCs/>
                <w:szCs w:val="21"/>
              </w:rPr>
            </w:pPr>
            <w:r>
              <w:rPr>
                <w:rFonts w:ascii="宋体" w:hAnsi="宋体" w:cs="宋体"/>
                <w:bCs/>
                <w:szCs w:val="21"/>
              </w:rPr>
              <w:t>11</w:t>
            </w:r>
            <w:r>
              <w:rPr>
                <w:rFonts w:hint="eastAsia" w:ascii="宋体" w:hAnsi="宋体" w:cs="宋体"/>
                <w:bCs/>
                <w:szCs w:val="21"/>
              </w:rPr>
              <w:t xml:space="preserve">   月12  日</w:t>
            </w:r>
          </w:p>
        </w:tc>
        <w:tc>
          <w:tcPr>
            <w:tcW w:w="5146"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484" w:leftChars="44" w:hanging="392" w:hangingChars="187"/>
              <w:jc w:val="center"/>
              <w:rPr>
                <w:rFonts w:ascii="宋体" w:hAnsi="宋体" w:cs="宋体"/>
                <w:bCs/>
                <w:kern w:val="2"/>
                <w:sz w:val="21"/>
                <w:szCs w:val="21"/>
              </w:rPr>
            </w:pPr>
            <w:r>
              <w:rPr>
                <w:rFonts w:hint="eastAsia" w:ascii="宋体" w:hAnsi="宋体" w:cs="宋体"/>
                <w:bCs/>
                <w:kern w:val="2"/>
                <w:sz w:val="21"/>
                <w:szCs w:val="21"/>
              </w:rPr>
              <w:t>深圳市地铁集团有限公司外网</w:t>
            </w:r>
            <w:r>
              <w:rPr>
                <w:rFonts w:hint="eastAsia" w:ascii="宋体" w:hAnsi="宋体" w:cs="宋体"/>
                <w:color w:val="000000"/>
                <w:sz w:val="21"/>
                <w:szCs w:val="21"/>
              </w:rPr>
              <w:t>、</w:t>
            </w:r>
            <w:r>
              <w:rPr>
                <w:rFonts w:hint="eastAsia" w:ascii="宋体" w:hAnsi="宋体" w:cs="宋体"/>
                <w:bCs/>
                <w:kern w:val="2"/>
                <w:sz w:val="21"/>
                <w:szCs w:val="21"/>
              </w:rPr>
              <w:t>国资委阳光采购平台、深铁置业微信订阅号、深铁招采平台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551" w:hRule="atLeast"/>
          <w:jc w:val="center"/>
        </w:trPr>
        <w:tc>
          <w:tcPr>
            <w:tcW w:w="612"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宋体" w:hAnsi="宋体" w:cs="宋体"/>
                <w:bCs/>
                <w:kern w:val="2"/>
                <w:sz w:val="21"/>
                <w:szCs w:val="21"/>
              </w:rPr>
            </w:pPr>
            <w:r>
              <w:rPr>
                <w:rFonts w:hint="eastAsia" w:ascii="宋体" w:hAnsi="宋体" w:cs="宋体"/>
                <w:bCs/>
                <w:kern w:val="2"/>
                <w:sz w:val="21"/>
                <w:szCs w:val="21"/>
              </w:rPr>
              <w:t>2</w:t>
            </w:r>
          </w:p>
        </w:tc>
        <w:tc>
          <w:tcPr>
            <w:tcW w:w="1418"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宋体" w:hAnsi="宋体" w:cs="宋体"/>
                <w:bCs/>
                <w:kern w:val="2"/>
                <w:sz w:val="21"/>
                <w:szCs w:val="21"/>
              </w:rPr>
            </w:pPr>
            <w:r>
              <w:rPr>
                <w:rFonts w:hint="eastAsia" w:ascii="宋体" w:hAnsi="宋体" w:cs="宋体"/>
                <w:bCs/>
                <w:kern w:val="2"/>
                <w:sz w:val="21"/>
                <w:szCs w:val="21"/>
              </w:rPr>
              <w:t>截标</w:t>
            </w:r>
          </w:p>
        </w:tc>
        <w:tc>
          <w:tcPr>
            <w:tcW w:w="255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s="宋体"/>
                <w:bCs/>
                <w:szCs w:val="21"/>
              </w:rPr>
            </w:pPr>
            <w:r>
              <w:rPr>
                <w:rFonts w:hint="eastAsia" w:ascii="宋体" w:hAnsi="宋体" w:cs="宋体"/>
                <w:bCs/>
                <w:szCs w:val="21"/>
              </w:rPr>
              <w:t xml:space="preserve">  </w:t>
            </w:r>
            <w:r>
              <w:rPr>
                <w:rFonts w:ascii="宋体" w:hAnsi="宋体" w:cs="宋体"/>
                <w:bCs/>
                <w:szCs w:val="21"/>
              </w:rPr>
              <w:t>1</w:t>
            </w:r>
            <w:r>
              <w:rPr>
                <w:rFonts w:hint="eastAsia" w:ascii="宋体" w:hAnsi="宋体" w:cs="宋体"/>
                <w:bCs/>
                <w:szCs w:val="21"/>
              </w:rPr>
              <w:t>1 月 26  日</w:t>
            </w:r>
          </w:p>
          <w:p>
            <w:pPr>
              <w:adjustRightInd w:val="0"/>
              <w:snapToGrid w:val="0"/>
              <w:jc w:val="center"/>
              <w:rPr>
                <w:rFonts w:ascii="宋体" w:hAnsi="宋体" w:cs="宋体"/>
                <w:bCs/>
                <w:szCs w:val="21"/>
              </w:rPr>
            </w:pPr>
            <w:r>
              <w:rPr>
                <w:rFonts w:hint="eastAsia" w:ascii="宋体" w:hAnsi="宋体" w:cs="宋体"/>
                <w:bCs/>
                <w:szCs w:val="21"/>
              </w:rPr>
              <w:t>上午09:30</w:t>
            </w:r>
          </w:p>
          <w:p>
            <w:pPr>
              <w:adjustRightInd w:val="0"/>
              <w:snapToGrid w:val="0"/>
              <w:jc w:val="center"/>
              <w:rPr>
                <w:rFonts w:ascii="宋体" w:hAnsi="宋体" w:cs="宋体"/>
                <w:bCs/>
                <w:szCs w:val="21"/>
              </w:rPr>
            </w:pPr>
            <w:r>
              <w:rPr>
                <w:rFonts w:hint="eastAsia" w:ascii="宋体" w:hAnsi="宋体" w:cs="宋体"/>
                <w:bCs/>
                <w:szCs w:val="21"/>
              </w:rPr>
              <w:t>（实际</w:t>
            </w:r>
            <w:r>
              <w:rPr>
                <w:rFonts w:ascii="宋体" w:hAnsi="宋体" w:cs="宋体"/>
                <w:bCs/>
                <w:szCs w:val="21"/>
              </w:rPr>
              <w:t>截标时间按</w:t>
            </w:r>
            <w:r>
              <w:rPr>
                <w:rFonts w:hint="eastAsia" w:ascii="宋体" w:hAnsi="宋体" w:cs="宋体"/>
                <w:bCs/>
                <w:szCs w:val="21"/>
              </w:rPr>
              <w:t>各</w:t>
            </w:r>
            <w:r>
              <w:rPr>
                <w:rFonts w:ascii="宋体" w:hAnsi="宋体" w:cs="宋体"/>
                <w:bCs/>
                <w:szCs w:val="21"/>
              </w:rPr>
              <w:t>参选单位</w:t>
            </w:r>
            <w:r>
              <w:rPr>
                <w:rFonts w:hint="eastAsia" w:ascii="宋体" w:hAnsi="宋体" w:cs="宋体"/>
                <w:bCs/>
                <w:szCs w:val="21"/>
              </w:rPr>
              <w:t>递交</w:t>
            </w:r>
            <w:r>
              <w:rPr>
                <w:rFonts w:ascii="宋体" w:hAnsi="宋体" w:cs="宋体"/>
                <w:bCs/>
                <w:szCs w:val="21"/>
              </w:rPr>
              <w:t>纸质参选文件</w:t>
            </w:r>
            <w:r>
              <w:rPr>
                <w:rFonts w:hint="eastAsia" w:ascii="宋体" w:hAnsi="宋体" w:cs="宋体"/>
                <w:bCs/>
                <w:szCs w:val="21"/>
              </w:rPr>
              <w:t>的</w:t>
            </w:r>
            <w:r>
              <w:rPr>
                <w:rFonts w:ascii="宋体" w:hAnsi="宋体" w:cs="宋体"/>
                <w:bCs/>
                <w:szCs w:val="21"/>
              </w:rPr>
              <w:t>时间为准）</w:t>
            </w:r>
          </w:p>
        </w:tc>
        <w:tc>
          <w:tcPr>
            <w:tcW w:w="5146"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281" w:leftChars="44" w:hanging="189" w:hangingChars="90"/>
              <w:jc w:val="left"/>
              <w:rPr>
                <w:rFonts w:ascii="宋体" w:hAnsi="宋体" w:cs="宋体"/>
                <w:bCs/>
                <w:kern w:val="2"/>
                <w:sz w:val="21"/>
                <w:szCs w:val="21"/>
              </w:rPr>
            </w:pPr>
            <w:r>
              <w:rPr>
                <w:rFonts w:hint="eastAsia" w:ascii="宋体" w:hAnsi="宋体" w:cs="宋体"/>
                <w:bCs/>
                <w:kern w:val="2"/>
                <w:sz w:val="21"/>
                <w:szCs w:val="21"/>
              </w:rPr>
              <w:t>1.纸质版参选文件递交地点：地铁大厦1楼评定标中心指定会议室</w:t>
            </w:r>
          </w:p>
          <w:p>
            <w:pPr>
              <w:pStyle w:val="3"/>
              <w:adjustRightInd w:val="0"/>
              <w:snapToGrid w:val="0"/>
              <w:spacing w:line="240" w:lineRule="auto"/>
              <w:ind w:left="484" w:leftChars="44" w:hanging="392" w:hangingChars="187"/>
              <w:jc w:val="left"/>
              <w:rPr>
                <w:rFonts w:ascii="宋体" w:hAnsi="宋体" w:cs="宋体"/>
                <w:bCs/>
                <w:kern w:val="2"/>
                <w:sz w:val="21"/>
                <w:szCs w:val="21"/>
              </w:rPr>
            </w:pPr>
            <w:r>
              <w:rPr>
                <w:rFonts w:hint="eastAsia" w:ascii="宋体" w:hAnsi="宋体" w:cs="宋体"/>
                <w:bCs/>
                <w:kern w:val="2"/>
                <w:sz w:val="21"/>
                <w:szCs w:val="21"/>
              </w:rPr>
              <w:t>2.电子版参选文件递交平台：深圳地铁智能招采系统</w:t>
            </w:r>
          </w:p>
          <w:p>
            <w:pPr>
              <w:pStyle w:val="3"/>
              <w:adjustRightInd w:val="0"/>
              <w:snapToGrid w:val="0"/>
              <w:spacing w:line="240" w:lineRule="auto"/>
              <w:ind w:left="281" w:leftChars="44" w:hanging="189" w:hangingChars="90"/>
              <w:jc w:val="left"/>
              <w:rPr>
                <w:rFonts w:ascii="宋体" w:hAnsi="宋体" w:cs="宋体"/>
                <w:bCs/>
                <w:kern w:val="2"/>
                <w:sz w:val="21"/>
                <w:szCs w:val="21"/>
              </w:rPr>
            </w:pPr>
            <w:r>
              <w:rPr>
                <w:rFonts w:hint="eastAsia" w:ascii="宋体" w:hAnsi="宋体" w:cs="宋体"/>
                <w:bCs/>
                <w:kern w:val="2"/>
                <w:sz w:val="21"/>
                <w:szCs w:val="21"/>
              </w:rPr>
              <w:t>https://cg.shenzhenmc.com/szmccg/ananymous/jyzt/zc/gyszc</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6" w:hRule="atLeast"/>
          <w:jc w:val="center"/>
        </w:trPr>
        <w:tc>
          <w:tcPr>
            <w:tcW w:w="612"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宋体" w:hAnsi="宋体" w:cs="宋体"/>
                <w:bCs/>
                <w:kern w:val="2"/>
                <w:sz w:val="21"/>
                <w:szCs w:val="21"/>
              </w:rPr>
            </w:pPr>
            <w:r>
              <w:rPr>
                <w:rFonts w:hint="eastAsia" w:ascii="宋体" w:hAnsi="宋体" w:cs="宋体"/>
                <w:bCs/>
                <w:kern w:val="2"/>
                <w:sz w:val="21"/>
                <w:szCs w:val="21"/>
              </w:rPr>
              <w:t>3</w:t>
            </w:r>
          </w:p>
        </w:tc>
        <w:tc>
          <w:tcPr>
            <w:tcW w:w="1418"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宋体" w:hAnsi="宋体" w:cs="宋体"/>
                <w:bCs/>
                <w:kern w:val="2"/>
                <w:sz w:val="21"/>
                <w:szCs w:val="21"/>
              </w:rPr>
            </w:pPr>
            <w:r>
              <w:rPr>
                <w:rFonts w:hint="eastAsia" w:ascii="宋体" w:hAnsi="宋体" w:cs="宋体"/>
                <w:bCs/>
                <w:kern w:val="2"/>
                <w:sz w:val="21"/>
                <w:szCs w:val="21"/>
              </w:rPr>
              <w:t>开标</w:t>
            </w:r>
          </w:p>
        </w:tc>
        <w:tc>
          <w:tcPr>
            <w:tcW w:w="2551" w:type="dxa"/>
            <w:tcBorders>
              <w:top w:val="single" w:color="auto" w:sz="4" w:space="0"/>
              <w:left w:val="single" w:color="auto" w:sz="4" w:space="0"/>
              <w:bottom w:val="single" w:color="auto" w:sz="4" w:space="0"/>
              <w:right w:val="single" w:color="auto" w:sz="4" w:space="0"/>
            </w:tcBorders>
            <w:vAlign w:val="center"/>
          </w:tcPr>
          <w:p>
            <w:pPr>
              <w:adjustRightInd w:val="0"/>
              <w:snapToGrid w:val="0"/>
              <w:ind w:firstLine="420"/>
              <w:jc w:val="center"/>
              <w:rPr>
                <w:rFonts w:ascii="宋体" w:hAnsi="宋体" w:cs="宋体"/>
                <w:bCs/>
                <w:szCs w:val="21"/>
              </w:rPr>
            </w:pPr>
            <w:r>
              <w:rPr>
                <w:rFonts w:hint="eastAsia" w:ascii="宋体" w:hAnsi="宋体" w:cs="宋体"/>
                <w:bCs/>
                <w:szCs w:val="21"/>
              </w:rPr>
              <w:t xml:space="preserve">11月 26 日         </w:t>
            </w:r>
          </w:p>
          <w:p>
            <w:pPr>
              <w:adjustRightInd w:val="0"/>
              <w:snapToGrid w:val="0"/>
              <w:jc w:val="center"/>
              <w:rPr>
                <w:rFonts w:ascii="宋体" w:hAnsi="宋体" w:cs="宋体"/>
                <w:bCs/>
                <w:szCs w:val="21"/>
              </w:rPr>
            </w:pPr>
            <w:r>
              <w:rPr>
                <w:rFonts w:hint="eastAsia" w:ascii="宋体" w:hAnsi="宋体" w:cs="宋体"/>
                <w:bCs/>
                <w:szCs w:val="21"/>
              </w:rPr>
              <w:t>上午09:</w:t>
            </w:r>
            <w:r>
              <w:rPr>
                <w:rFonts w:ascii="宋体" w:hAnsi="宋体" w:cs="宋体"/>
                <w:bCs/>
                <w:szCs w:val="21"/>
              </w:rPr>
              <w:t>30</w:t>
            </w:r>
          </w:p>
        </w:tc>
        <w:tc>
          <w:tcPr>
            <w:tcW w:w="5146"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143" w:leftChars="68" w:firstLine="33" w:firstLineChars="16"/>
              <w:jc w:val="left"/>
              <w:rPr>
                <w:rFonts w:ascii="宋体" w:hAnsi="宋体" w:cs="宋体"/>
                <w:bCs/>
                <w:kern w:val="2"/>
                <w:sz w:val="21"/>
                <w:szCs w:val="21"/>
              </w:rPr>
            </w:pPr>
            <w:r>
              <w:rPr>
                <w:rFonts w:hint="eastAsia" w:ascii="宋体" w:hAnsi="宋体" w:cs="宋体"/>
                <w:bCs/>
                <w:kern w:val="2"/>
                <w:sz w:val="21"/>
                <w:szCs w:val="21"/>
              </w:rPr>
              <w:t>开标地点：地铁大厦1楼评定标中心指定会议室</w:t>
            </w:r>
          </w:p>
        </w:tc>
      </w:tr>
    </w:tbl>
    <w:p>
      <w:pPr>
        <w:pStyle w:val="4"/>
        <w:spacing w:line="360" w:lineRule="auto"/>
        <w:ind w:firstLine="424" w:firstLineChars="177"/>
        <w:rPr>
          <w:rFonts w:hAnsi="宋体"/>
          <w:b/>
          <w:sz w:val="24"/>
          <w:szCs w:val="24"/>
        </w:rPr>
      </w:pPr>
      <w:r>
        <w:rPr>
          <w:rFonts w:hint="eastAsia" w:hAnsi="宋体"/>
          <w:color w:val="0D0D0D"/>
          <w:sz w:val="24"/>
          <w:szCs w:val="24"/>
        </w:rPr>
        <w:t>备注：若参选人的纸质版参选文件与电子版参选文件提交的时间或内容相冲突，以提交的纸质版参选文件的时间或内容为准。</w:t>
      </w:r>
    </w:p>
    <w:p>
      <w:pPr>
        <w:keepNext/>
        <w:keepLines/>
        <w:tabs>
          <w:tab w:val="left" w:pos="1260"/>
        </w:tabs>
        <w:adjustRightInd w:val="0"/>
        <w:spacing w:before="260" w:after="260" w:line="360" w:lineRule="auto"/>
        <w:ind w:firstLine="482" w:firstLineChars="200"/>
        <w:textAlignment w:val="baseline"/>
        <w:outlineLvl w:val="2"/>
        <w:rPr>
          <w:rFonts w:ascii="宋体" w:hAnsi="宋体"/>
          <w:b/>
          <w:kern w:val="0"/>
          <w:sz w:val="24"/>
          <w:szCs w:val="24"/>
        </w:rPr>
      </w:pPr>
      <w:bookmarkStart w:id="6" w:name="_Toc57731950"/>
      <w:r>
        <w:rPr>
          <w:rFonts w:hint="eastAsia" w:ascii="宋体" w:hAnsi="宋体"/>
          <w:b/>
          <w:kern w:val="0"/>
          <w:sz w:val="24"/>
          <w:szCs w:val="24"/>
        </w:rPr>
        <w:t>六、参选所需材料</w:t>
      </w:r>
      <w:bookmarkEnd w:id="6"/>
    </w:p>
    <w:p>
      <w:pPr>
        <w:tabs>
          <w:tab w:val="center" w:pos="5059"/>
        </w:tabs>
        <w:spacing w:line="360" w:lineRule="auto"/>
        <w:ind w:firstLine="480" w:firstLineChars="200"/>
        <w:rPr>
          <w:rFonts w:ascii="宋体" w:hAnsi="宋体"/>
          <w:kern w:val="0"/>
          <w:sz w:val="24"/>
          <w:szCs w:val="24"/>
        </w:rPr>
      </w:pPr>
      <w:r>
        <w:rPr>
          <w:rFonts w:hint="eastAsia" w:ascii="宋体" w:hAnsi="宋体"/>
          <w:kern w:val="0"/>
          <w:sz w:val="24"/>
          <w:szCs w:val="24"/>
        </w:rPr>
        <w:t>根据比选</w:t>
      </w:r>
      <w:r>
        <w:rPr>
          <w:rFonts w:ascii="宋体" w:hAnsi="宋体"/>
          <w:kern w:val="0"/>
          <w:sz w:val="24"/>
          <w:szCs w:val="24"/>
        </w:rPr>
        <w:t>文件编制的参选文件</w:t>
      </w:r>
      <w:r>
        <w:rPr>
          <w:rFonts w:hint="eastAsia" w:ascii="宋体" w:hAnsi="宋体"/>
          <w:kern w:val="0"/>
          <w:sz w:val="24"/>
          <w:szCs w:val="24"/>
        </w:rPr>
        <w:t>；</w:t>
      </w:r>
      <w:r>
        <w:rPr>
          <w:rFonts w:ascii="宋体" w:hAnsi="宋体"/>
          <w:kern w:val="0"/>
          <w:sz w:val="24"/>
          <w:szCs w:val="24"/>
        </w:rPr>
        <w:tab/>
      </w:r>
    </w:p>
    <w:p>
      <w:pPr>
        <w:spacing w:line="360" w:lineRule="auto"/>
        <w:ind w:firstLine="480" w:firstLineChars="200"/>
        <w:rPr>
          <w:rFonts w:ascii="宋体" w:hAnsi="宋体"/>
          <w:kern w:val="0"/>
          <w:sz w:val="24"/>
          <w:szCs w:val="24"/>
        </w:rPr>
      </w:pPr>
      <w:r>
        <w:rPr>
          <w:rFonts w:hint="eastAsia" w:ascii="宋体" w:hAnsi="宋体"/>
          <w:kern w:val="0"/>
          <w:sz w:val="24"/>
          <w:szCs w:val="24"/>
        </w:rPr>
        <w:t>如递交</w:t>
      </w:r>
      <w:r>
        <w:rPr>
          <w:rFonts w:ascii="宋体" w:hAnsi="宋体"/>
          <w:kern w:val="0"/>
          <w:sz w:val="24"/>
          <w:szCs w:val="24"/>
        </w:rPr>
        <w:t>参选文件的参选</w:t>
      </w:r>
      <w:r>
        <w:rPr>
          <w:rFonts w:hint="eastAsia" w:ascii="宋体" w:hAnsi="宋体"/>
          <w:kern w:val="0"/>
          <w:sz w:val="24"/>
          <w:szCs w:val="24"/>
        </w:rPr>
        <w:t>人为参选单位的法定代表人，须携带法定代表人证明书及本人身份证原件和复印件；如递交</w:t>
      </w:r>
      <w:r>
        <w:rPr>
          <w:rFonts w:ascii="宋体" w:hAnsi="宋体"/>
          <w:kern w:val="0"/>
          <w:sz w:val="24"/>
          <w:szCs w:val="24"/>
        </w:rPr>
        <w:t>参选文件的参选</w:t>
      </w:r>
      <w:r>
        <w:rPr>
          <w:rFonts w:hint="eastAsia" w:ascii="宋体" w:hAnsi="宋体"/>
          <w:kern w:val="0"/>
          <w:sz w:val="24"/>
          <w:szCs w:val="24"/>
        </w:rPr>
        <w:t>人不是法定代表人，除携带本人身份证复印件外，还需携带法定代表人证明书和法定代表人身份证复印件及授权</w:t>
      </w:r>
      <w:r>
        <w:rPr>
          <w:rFonts w:ascii="宋体" w:hAnsi="宋体"/>
          <w:kern w:val="0"/>
          <w:sz w:val="24"/>
          <w:szCs w:val="24"/>
        </w:rPr>
        <w:t>委托书</w:t>
      </w:r>
      <w:r>
        <w:rPr>
          <w:rFonts w:hint="eastAsia" w:ascii="宋体" w:hAnsi="宋体"/>
          <w:kern w:val="0"/>
          <w:sz w:val="24"/>
          <w:szCs w:val="24"/>
        </w:rPr>
        <w:t>。</w:t>
      </w:r>
    </w:p>
    <w:p>
      <w:pPr>
        <w:keepNext/>
        <w:keepLines/>
        <w:tabs>
          <w:tab w:val="left" w:pos="1260"/>
        </w:tabs>
        <w:adjustRightInd w:val="0"/>
        <w:spacing w:before="260" w:after="260" w:line="360" w:lineRule="auto"/>
        <w:ind w:firstLine="482" w:firstLineChars="200"/>
        <w:textAlignment w:val="baseline"/>
        <w:outlineLvl w:val="2"/>
        <w:rPr>
          <w:rFonts w:ascii="宋体" w:hAnsi="宋体"/>
          <w:b/>
          <w:kern w:val="0"/>
          <w:sz w:val="24"/>
          <w:szCs w:val="24"/>
        </w:rPr>
      </w:pPr>
      <w:r>
        <w:rPr>
          <w:rFonts w:hint="eastAsia" w:ascii="宋体" w:hAnsi="宋体"/>
          <w:b/>
          <w:kern w:val="0"/>
          <w:sz w:val="24"/>
          <w:szCs w:val="24"/>
        </w:rPr>
        <w:t>七、参选联系人</w:t>
      </w:r>
    </w:p>
    <w:p>
      <w:pPr>
        <w:pStyle w:val="4"/>
        <w:spacing w:line="360" w:lineRule="auto"/>
        <w:ind w:firstLine="480" w:firstLineChars="200"/>
        <w:rPr>
          <w:rFonts w:hAnsi="宋体"/>
          <w:sz w:val="24"/>
        </w:rPr>
      </w:pPr>
      <w:r>
        <w:rPr>
          <w:rFonts w:hint="eastAsia" w:hAnsi="宋体"/>
          <w:sz w:val="24"/>
          <w:szCs w:val="24"/>
        </w:rPr>
        <w:t>联系人：</w:t>
      </w:r>
      <w:r>
        <w:rPr>
          <w:rFonts w:hint="eastAsia" w:hAnsi="宋体"/>
          <w:sz w:val="24"/>
        </w:rPr>
        <w:t xml:space="preserve"> 冯丽丽  雷燕红      </w:t>
      </w:r>
    </w:p>
    <w:p>
      <w:pPr>
        <w:pStyle w:val="4"/>
        <w:spacing w:line="360" w:lineRule="auto"/>
        <w:ind w:firstLine="480" w:firstLineChars="200"/>
        <w:rPr>
          <w:rFonts w:hAnsi="宋体"/>
          <w:sz w:val="24"/>
          <w:szCs w:val="24"/>
        </w:rPr>
      </w:pPr>
      <w:r>
        <w:rPr>
          <w:rFonts w:hint="eastAsia" w:hAnsi="宋体"/>
          <w:sz w:val="24"/>
          <w:szCs w:val="24"/>
        </w:rPr>
        <w:t xml:space="preserve">联系电话： </w:t>
      </w:r>
      <w:r>
        <w:rPr>
          <w:rFonts w:hint="eastAsia" w:hAnsi="宋体"/>
          <w:sz w:val="24"/>
        </w:rPr>
        <w:t>89987720   89987750</w:t>
      </w:r>
      <w:r>
        <w:rPr>
          <w:rFonts w:hint="eastAsia" w:hAnsi="宋体"/>
          <w:sz w:val="24"/>
          <w:szCs w:val="24"/>
        </w:rPr>
        <w:t xml:space="preserve"> </w:t>
      </w:r>
      <w:bookmarkStart w:id="7" w:name="_GoBack"/>
      <w:bookmarkEnd w:id="7"/>
      <w:r>
        <w:rPr>
          <w:rFonts w:hint="eastAsia" w:hAnsi="宋体"/>
          <w:sz w:val="24"/>
          <w:szCs w:val="24"/>
        </w:rPr>
        <w:t xml:space="preserve">        </w:t>
      </w:r>
    </w:p>
    <w:p>
      <w:pPr>
        <w:pStyle w:val="4"/>
        <w:spacing w:line="360" w:lineRule="auto"/>
        <w:ind w:firstLine="480" w:firstLineChars="200"/>
        <w:rPr>
          <w:rFonts w:hAnsi="宋体"/>
          <w:sz w:val="24"/>
          <w:szCs w:val="24"/>
        </w:rPr>
      </w:pPr>
    </w:p>
    <w:p>
      <w:pPr>
        <w:pStyle w:val="4"/>
        <w:spacing w:line="360" w:lineRule="auto"/>
        <w:ind w:firstLine="480" w:firstLineChars="200"/>
        <w:jc w:val="right"/>
        <w:rPr>
          <w:rFonts w:hAnsi="宋体"/>
          <w:sz w:val="24"/>
          <w:szCs w:val="24"/>
        </w:rPr>
      </w:pPr>
    </w:p>
    <w:p>
      <w:pPr>
        <w:pStyle w:val="4"/>
        <w:spacing w:line="360" w:lineRule="auto"/>
        <w:ind w:firstLine="480" w:firstLineChars="200"/>
        <w:jc w:val="right"/>
        <w:rPr>
          <w:rFonts w:hAnsi="宋体"/>
          <w:sz w:val="24"/>
          <w:szCs w:val="24"/>
        </w:rPr>
      </w:pPr>
      <w:r>
        <w:rPr>
          <w:rFonts w:hint="eastAsia" w:hAnsi="宋体"/>
          <w:sz w:val="24"/>
          <w:szCs w:val="24"/>
        </w:rPr>
        <w:t>深圳市地铁集团有限公司</w:t>
      </w:r>
    </w:p>
    <w:p>
      <w:pPr>
        <w:pStyle w:val="4"/>
        <w:wordWrap w:val="0"/>
        <w:spacing w:line="360" w:lineRule="auto"/>
        <w:ind w:firstLine="480" w:firstLineChars="200"/>
        <w:jc w:val="right"/>
        <w:rPr>
          <w:rFonts w:hAnsi="宋体"/>
          <w:sz w:val="24"/>
          <w:szCs w:val="24"/>
        </w:rPr>
      </w:pPr>
      <w:r>
        <w:rPr>
          <w:rFonts w:hint="eastAsia" w:hAnsi="宋体" w:cs="宋体"/>
          <w:sz w:val="24"/>
          <w:szCs w:val="24"/>
        </w:rPr>
        <w:t>            </w:t>
      </w:r>
      <w:r>
        <w:rPr>
          <w:rFonts w:hint="eastAsia" w:hAnsi="宋体"/>
          <w:sz w:val="24"/>
          <w:szCs w:val="24"/>
        </w:rPr>
        <w:t>2021年 11 月 12 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452"/>
    <w:rsid w:val="00183003"/>
    <w:rsid w:val="00237D6B"/>
    <w:rsid w:val="005924CD"/>
    <w:rsid w:val="005B01FA"/>
    <w:rsid w:val="005B0369"/>
    <w:rsid w:val="00602929"/>
    <w:rsid w:val="00924E84"/>
    <w:rsid w:val="00D82452"/>
    <w:rsid w:val="00F224C9"/>
    <w:rsid w:val="58524F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2"/>
    <w:basedOn w:val="1"/>
    <w:next w:val="1"/>
    <w:link w:val="12"/>
    <w:qFormat/>
    <w:uiPriority w:val="0"/>
    <w:pPr>
      <w:keepNext/>
      <w:keepLines/>
      <w:adjustRightInd w:val="0"/>
      <w:spacing w:before="260" w:after="260" w:line="416" w:lineRule="atLeast"/>
      <w:jc w:val="center"/>
      <w:textAlignment w:val="baseline"/>
      <w:outlineLvl w:val="1"/>
    </w:pPr>
    <w:rPr>
      <w:rFonts w:ascii="黑体" w:hAnsi="Arial" w:eastAsia="黑体"/>
      <w:kern w:val="0"/>
      <w:sz w:val="28"/>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Body Text Indent"/>
    <w:basedOn w:val="1"/>
    <w:link w:val="13"/>
    <w:qFormat/>
    <w:uiPriority w:val="0"/>
    <w:pPr>
      <w:spacing w:line="360" w:lineRule="auto"/>
      <w:ind w:left="540" w:leftChars="257" w:firstLine="360" w:firstLineChars="150"/>
    </w:pPr>
    <w:rPr>
      <w:kern w:val="0"/>
      <w:sz w:val="20"/>
    </w:rPr>
  </w:style>
  <w:style w:type="paragraph" w:styleId="4">
    <w:name w:val="Plain Text"/>
    <w:basedOn w:val="1"/>
    <w:link w:val="14"/>
    <w:qFormat/>
    <w:uiPriority w:val="0"/>
    <w:pPr>
      <w:adjustRightInd w:val="0"/>
      <w:spacing w:line="312" w:lineRule="atLeast"/>
      <w:textAlignment w:val="baseline"/>
    </w:pPr>
    <w:rPr>
      <w:rFonts w:ascii="宋体" w:hAnsi="Courier New"/>
      <w:kern w:val="0"/>
      <w:sz w:val="20"/>
    </w:rPr>
  </w:style>
  <w:style w:type="paragraph" w:styleId="5">
    <w:name w:val="footer"/>
    <w:basedOn w:val="1"/>
    <w:link w:val="11"/>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0"/>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Body Text First Indent 2"/>
    <w:basedOn w:val="3"/>
    <w:link w:val="15"/>
    <w:unhideWhenUsed/>
    <w:qFormat/>
    <w:uiPriority w:val="0"/>
    <w:pPr>
      <w:spacing w:after="120" w:line="240" w:lineRule="auto"/>
      <w:ind w:left="420" w:leftChars="200" w:firstLine="420" w:firstLineChars="200"/>
    </w:pPr>
    <w:rPr>
      <w:kern w:val="2"/>
      <w:sz w:val="21"/>
    </w:rPr>
  </w:style>
  <w:style w:type="character" w:customStyle="1" w:styleId="10">
    <w:name w:val="页眉 Char"/>
    <w:basedOn w:val="9"/>
    <w:link w:val="6"/>
    <w:uiPriority w:val="99"/>
    <w:rPr>
      <w:sz w:val="18"/>
      <w:szCs w:val="18"/>
    </w:rPr>
  </w:style>
  <w:style w:type="character" w:customStyle="1" w:styleId="11">
    <w:name w:val="页脚 Char"/>
    <w:basedOn w:val="9"/>
    <w:link w:val="5"/>
    <w:uiPriority w:val="99"/>
    <w:rPr>
      <w:sz w:val="18"/>
      <w:szCs w:val="18"/>
    </w:rPr>
  </w:style>
  <w:style w:type="character" w:customStyle="1" w:styleId="12">
    <w:name w:val="标题 2 Char"/>
    <w:basedOn w:val="9"/>
    <w:link w:val="2"/>
    <w:qFormat/>
    <w:uiPriority w:val="0"/>
    <w:rPr>
      <w:rFonts w:ascii="黑体" w:hAnsi="Arial" w:eastAsia="黑体" w:cs="Times New Roman"/>
      <w:kern w:val="0"/>
      <w:sz w:val="28"/>
      <w:szCs w:val="20"/>
    </w:rPr>
  </w:style>
  <w:style w:type="character" w:customStyle="1" w:styleId="13">
    <w:name w:val="正文文本缩进 Char"/>
    <w:basedOn w:val="9"/>
    <w:link w:val="3"/>
    <w:qFormat/>
    <w:uiPriority w:val="0"/>
    <w:rPr>
      <w:rFonts w:ascii="Times New Roman" w:hAnsi="Times New Roman" w:eastAsia="宋体" w:cs="Times New Roman"/>
      <w:kern w:val="0"/>
      <w:sz w:val="20"/>
      <w:szCs w:val="20"/>
    </w:rPr>
  </w:style>
  <w:style w:type="character" w:customStyle="1" w:styleId="14">
    <w:name w:val="纯文本 Char"/>
    <w:basedOn w:val="9"/>
    <w:link w:val="4"/>
    <w:qFormat/>
    <w:uiPriority w:val="0"/>
    <w:rPr>
      <w:rFonts w:ascii="宋体" w:hAnsi="Courier New" w:eastAsia="宋体" w:cs="Times New Roman"/>
      <w:kern w:val="0"/>
      <w:sz w:val="20"/>
      <w:szCs w:val="20"/>
    </w:rPr>
  </w:style>
  <w:style w:type="character" w:customStyle="1" w:styleId="15">
    <w:name w:val="正文首行缩进 2 Char"/>
    <w:basedOn w:val="13"/>
    <w:link w:val="7"/>
    <w:uiPriority w:val="0"/>
    <w:rPr>
      <w:rFonts w:ascii="Times New Roman" w:hAnsi="Times New Roman" w:eastAsia="宋体" w:cs="Times New Roman"/>
      <w:kern w:val="0"/>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805</Words>
  <Characters>871</Characters>
  <Lines>67</Lines>
  <Paragraphs>72</Paragraphs>
  <TotalTime>0</TotalTime>
  <ScaleCrop>false</ScaleCrop>
  <LinksUpToDate>false</LinksUpToDate>
  <CharactersWithSpaces>1604</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2021-11-09T06:34:00Z</dcterms:created>
  <dc:creator>NTKO</dc:creator>
  <cp:lastModifiedBy>NTKO</cp:lastModifiedBy>
  <dcterms:modified xsi:type="dcterms:W3CDTF">2021-11-10T08:02:05Z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