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rPr>
          <w:rFonts w:ascii="宋体" w:hAnsi="宋体" w:eastAsia="宋体"/>
          <w:b/>
          <w:sz w:val="44"/>
          <w:szCs w:val="44"/>
        </w:rPr>
      </w:pPr>
      <w:r>
        <w:rPr>
          <w:rFonts w:hint="eastAsia" w:ascii="宋体" w:hAnsi="宋体" w:eastAsia="宋体"/>
          <w:b/>
          <w:sz w:val="44"/>
          <w:szCs w:val="44"/>
        </w:rPr>
        <w:t>比选公告</w:t>
      </w:r>
    </w:p>
    <w:p>
      <w:pPr>
        <w:pStyle w:val="5"/>
        <w:spacing w:line="360" w:lineRule="auto"/>
        <w:ind w:firstLine="480" w:firstLineChars="200"/>
        <w:jc w:val="left"/>
        <w:rPr>
          <w:rFonts w:hAnsi="宋体"/>
          <w:sz w:val="24"/>
          <w:szCs w:val="24"/>
        </w:rPr>
      </w:pPr>
      <w:r>
        <w:rPr>
          <w:rFonts w:hint="eastAsia" w:hAnsi="宋体"/>
          <w:sz w:val="24"/>
          <w:szCs w:val="24"/>
        </w:rPr>
        <w:t>深圳市地铁集团有限公司拟对深铁珑境花园模型设计及制作安装服务（以下简称“本项目”）进行公开比选</w:t>
      </w:r>
      <w:r>
        <w:rPr>
          <w:rFonts w:hint="eastAsia" w:hAnsi="宋体"/>
          <w:sz w:val="24"/>
          <w:szCs w:val="24"/>
          <w:lang w:eastAsia="zh-CN"/>
        </w:rPr>
        <w:t>（</w:t>
      </w:r>
      <w:r>
        <w:rPr>
          <w:rFonts w:hint="eastAsia" w:hAnsi="宋体"/>
          <w:sz w:val="24"/>
          <w:szCs w:val="24"/>
          <w:lang w:val="en-US" w:eastAsia="zh-CN"/>
        </w:rPr>
        <w:t>第二次</w:t>
      </w:r>
      <w:bookmarkStart w:id="6" w:name="_GoBack"/>
      <w:bookmarkEnd w:id="6"/>
      <w:r>
        <w:rPr>
          <w:rFonts w:hint="eastAsia" w:hAnsi="宋体"/>
          <w:sz w:val="24"/>
          <w:szCs w:val="24"/>
          <w:lang w:eastAsia="zh-CN"/>
        </w:rPr>
        <w:t>）</w:t>
      </w:r>
      <w:r>
        <w:rPr>
          <w:rFonts w:hint="eastAsia" w:hAnsi="宋体"/>
          <w:sz w:val="24"/>
          <w:szCs w:val="24"/>
        </w:rPr>
        <w:t>，欢迎符合本比选公告公布资质要求的公司参加比选。</w:t>
      </w:r>
    </w:p>
    <w:p>
      <w:pPr>
        <w:pStyle w:val="5"/>
        <w:numPr>
          <w:ilvl w:val="0"/>
          <w:numId w:val="1"/>
        </w:numPr>
        <w:spacing w:line="360" w:lineRule="auto"/>
        <w:jc w:val="left"/>
        <w:rPr>
          <w:rFonts w:hAnsi="宋体"/>
          <w:b/>
          <w:bCs/>
          <w:sz w:val="24"/>
          <w:szCs w:val="24"/>
        </w:rPr>
      </w:pPr>
      <w:bookmarkStart w:id="0" w:name="_Toc57731945"/>
      <w:r>
        <w:rPr>
          <w:rFonts w:hint="eastAsia" w:hAnsi="宋体"/>
          <w:b/>
          <w:bCs/>
          <w:sz w:val="24"/>
          <w:szCs w:val="24"/>
        </w:rPr>
        <w:t>项目名称</w:t>
      </w:r>
      <w:bookmarkEnd w:id="0"/>
    </w:p>
    <w:p>
      <w:pPr>
        <w:pStyle w:val="5"/>
        <w:spacing w:line="360" w:lineRule="auto"/>
        <w:ind w:firstLine="480" w:firstLineChars="200"/>
        <w:jc w:val="left"/>
        <w:rPr>
          <w:rFonts w:hint="eastAsia" w:hAnsi="宋体" w:eastAsia="宋体"/>
          <w:sz w:val="24"/>
          <w:szCs w:val="24"/>
          <w:lang w:eastAsia="zh-CN"/>
        </w:rPr>
      </w:pPr>
      <w:bookmarkStart w:id="1" w:name="_Toc57731946"/>
      <w:r>
        <w:rPr>
          <w:rFonts w:hint="eastAsia" w:hAnsi="宋体"/>
          <w:sz w:val="24"/>
          <w:szCs w:val="24"/>
        </w:rPr>
        <w:t>深铁珑境花园模型设计及制作安装服务</w:t>
      </w:r>
      <w:r>
        <w:rPr>
          <w:rFonts w:hint="eastAsia" w:hAnsi="宋体"/>
          <w:sz w:val="24"/>
          <w:szCs w:val="24"/>
          <w:lang w:eastAsia="zh-CN"/>
        </w:rPr>
        <w:t>（</w:t>
      </w:r>
      <w:r>
        <w:rPr>
          <w:rFonts w:hint="eastAsia" w:hAnsi="宋体"/>
          <w:sz w:val="24"/>
          <w:szCs w:val="24"/>
          <w:lang w:val="en-US" w:eastAsia="zh-CN"/>
        </w:rPr>
        <w:t>第二次</w:t>
      </w:r>
      <w:r>
        <w:rPr>
          <w:rFonts w:hint="eastAsia" w:hAnsi="宋体"/>
          <w:sz w:val="24"/>
          <w:szCs w:val="24"/>
          <w:lang w:eastAsia="zh-CN"/>
        </w:rPr>
        <w:t>）</w:t>
      </w:r>
    </w:p>
    <w:p>
      <w:pPr>
        <w:pStyle w:val="5"/>
        <w:numPr>
          <w:ilvl w:val="0"/>
          <w:numId w:val="1"/>
        </w:numPr>
        <w:spacing w:line="360" w:lineRule="auto"/>
        <w:jc w:val="left"/>
        <w:rPr>
          <w:rFonts w:hAnsi="宋体"/>
          <w:b/>
          <w:bCs/>
          <w:sz w:val="24"/>
          <w:szCs w:val="24"/>
        </w:rPr>
      </w:pPr>
      <w:r>
        <w:rPr>
          <w:rFonts w:hint="eastAsia" w:hAnsi="宋体"/>
          <w:b/>
          <w:bCs/>
          <w:sz w:val="24"/>
          <w:szCs w:val="24"/>
        </w:rPr>
        <w:t>比选内容</w:t>
      </w:r>
      <w:bookmarkEnd w:id="1"/>
      <w:bookmarkStart w:id="2" w:name="_Toc57731947"/>
    </w:p>
    <w:p>
      <w:pPr>
        <w:spacing w:line="360" w:lineRule="auto"/>
        <w:ind w:firstLine="480" w:firstLineChars="200"/>
        <w:rPr>
          <w:rFonts w:ascii="宋体" w:hAnsi="宋体"/>
          <w:kern w:val="0"/>
          <w:sz w:val="24"/>
          <w:szCs w:val="24"/>
        </w:rPr>
      </w:pPr>
      <w:r>
        <w:rPr>
          <w:rFonts w:hint="eastAsia" w:ascii="宋体" w:hAnsi="宋体"/>
          <w:kern w:val="0"/>
          <w:sz w:val="24"/>
          <w:szCs w:val="24"/>
        </w:rPr>
        <w:t>（一）规划模型</w:t>
      </w:r>
    </w:p>
    <w:tbl>
      <w:tblPr>
        <w:tblStyle w:val="8"/>
        <w:tblW w:w="89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512"/>
        <w:gridCol w:w="657"/>
        <w:gridCol w:w="1150"/>
        <w:gridCol w:w="870"/>
        <w:gridCol w:w="3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82" w:type="dxa"/>
            <w:shd w:val="clear" w:color="auto" w:fill="D9D9D9"/>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位置</w:t>
            </w:r>
          </w:p>
        </w:tc>
        <w:tc>
          <w:tcPr>
            <w:tcW w:w="1512" w:type="dxa"/>
            <w:shd w:val="clear" w:color="auto" w:fill="D9D9D9"/>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类别</w:t>
            </w:r>
          </w:p>
        </w:tc>
        <w:tc>
          <w:tcPr>
            <w:tcW w:w="657" w:type="dxa"/>
            <w:shd w:val="clear" w:color="auto" w:fill="D9D9D9"/>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数量</w:t>
            </w:r>
          </w:p>
        </w:tc>
        <w:tc>
          <w:tcPr>
            <w:tcW w:w="1150" w:type="dxa"/>
            <w:shd w:val="clear" w:color="auto" w:fill="D9D9D9"/>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尺寸</w:t>
            </w:r>
          </w:p>
        </w:tc>
        <w:tc>
          <w:tcPr>
            <w:tcW w:w="870" w:type="dxa"/>
            <w:shd w:val="clear" w:color="auto" w:fill="D9D9D9"/>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比例</w:t>
            </w:r>
          </w:p>
        </w:tc>
        <w:tc>
          <w:tcPr>
            <w:tcW w:w="3773" w:type="dxa"/>
            <w:shd w:val="clear" w:color="auto" w:fill="D9D9D9"/>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restart"/>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异地展厅</w:t>
            </w: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LED区域模型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4*5m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屏幕精度为P1.86,智能操控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continue"/>
            <w:vAlign w:val="center"/>
          </w:tcPr>
          <w:p>
            <w:pPr>
              <w:widowControl/>
              <w:spacing w:line="360" w:lineRule="auto"/>
              <w:jc w:val="center"/>
              <w:textAlignment w:val="center"/>
              <w:rPr>
                <w:rFonts w:ascii="仿宋_GB2312" w:hAnsi="仿宋_GB2312" w:eastAsia="仿宋_GB2312" w:cs="仿宋_GB2312"/>
                <w:kern w:val="0"/>
                <w:sz w:val="20"/>
                <w:lang w:bidi="ar"/>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本体模型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4*5m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1:180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盖上部分具有升降功能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平层户型模型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7个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叠墅户型模型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1.8*1.8m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1:25</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单层建筑面积180㎡，共4层，智能升降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82" w:type="dxa"/>
            <w:vMerge w:val="restart"/>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实地展示中心</w:t>
            </w: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本体模型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4*5m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1:180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盖上部分具有升降功能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平层户型模型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7个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叠墅户型模型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1.8*1.8m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1:25</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单层建筑面积180㎡，共4层，智能升降</w:t>
            </w:r>
          </w:p>
        </w:tc>
      </w:tr>
    </w:tbl>
    <w:p>
      <w:pPr>
        <w:spacing w:line="360" w:lineRule="auto"/>
        <w:ind w:firstLine="480" w:firstLineChars="200"/>
        <w:rPr>
          <w:rFonts w:ascii="宋体" w:hAnsi="宋体"/>
          <w:kern w:val="0"/>
          <w:sz w:val="24"/>
          <w:szCs w:val="24"/>
        </w:rPr>
      </w:pPr>
      <w:r>
        <w:rPr>
          <w:rFonts w:hint="eastAsia" w:ascii="宋体" w:hAnsi="宋体"/>
          <w:kern w:val="0"/>
          <w:sz w:val="24"/>
          <w:szCs w:val="24"/>
        </w:rPr>
        <w:t>（二）模型设计及制作安装要求</w:t>
      </w:r>
    </w:p>
    <w:p>
      <w:pPr>
        <w:spacing w:line="360" w:lineRule="auto"/>
        <w:ind w:firstLine="480" w:firstLineChars="200"/>
        <w:rPr>
          <w:rFonts w:ascii="宋体" w:hAnsi="宋体"/>
          <w:kern w:val="0"/>
          <w:sz w:val="24"/>
          <w:szCs w:val="24"/>
        </w:rPr>
      </w:pPr>
      <w:r>
        <w:rPr>
          <w:rFonts w:hint="eastAsia" w:ascii="宋体" w:hAnsi="宋体"/>
          <w:kern w:val="0"/>
          <w:sz w:val="24"/>
          <w:szCs w:val="24"/>
        </w:rPr>
        <w:t>1.本体模型展示范围</w:t>
      </w:r>
    </w:p>
    <w:p>
      <w:pPr>
        <w:spacing w:line="360" w:lineRule="auto"/>
        <w:ind w:firstLine="480" w:firstLineChars="200"/>
        <w:rPr>
          <w:rFonts w:ascii="宋体" w:hAnsi="宋体"/>
          <w:kern w:val="0"/>
          <w:sz w:val="24"/>
          <w:szCs w:val="24"/>
        </w:rPr>
      </w:pPr>
      <w:r>
        <w:rPr>
          <w:rFonts w:hint="eastAsia" w:ascii="宋体" w:hAnsi="宋体"/>
          <w:kern w:val="0"/>
          <w:sz w:val="24"/>
          <w:szCs w:val="24"/>
        </w:rPr>
        <w:drawing>
          <wp:anchor distT="0" distB="0" distL="114300" distR="114300" simplePos="0" relativeHeight="251660288" behindDoc="0" locked="0" layoutInCell="1" allowOverlap="1">
            <wp:simplePos x="0" y="0"/>
            <wp:positionH relativeFrom="column">
              <wp:posOffset>3721100</wp:posOffset>
            </wp:positionH>
            <wp:positionV relativeFrom="paragraph">
              <wp:posOffset>4445</wp:posOffset>
            </wp:positionV>
            <wp:extent cx="3021965" cy="2586355"/>
            <wp:effectExtent l="0" t="0" r="6985" b="4445"/>
            <wp:wrapTopAndBottom/>
            <wp:docPr id="5" name="图片 4" descr="787225884243a739afbb1e2e2c38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787225884243a739afbb1e2e2c38638"/>
                    <pic:cNvPicPr>
                      <a:picLocks noChangeAspect="1"/>
                    </pic:cNvPicPr>
                  </pic:nvPicPr>
                  <pic:blipFill>
                    <a:blip r:embed="rId4"/>
                    <a:stretch>
                      <a:fillRect/>
                    </a:stretch>
                  </pic:blipFill>
                  <pic:spPr>
                    <a:xfrm>
                      <a:off x="0" y="0"/>
                      <a:ext cx="3021965" cy="2586355"/>
                    </a:xfrm>
                    <a:prstGeom prst="rect">
                      <a:avLst/>
                    </a:prstGeom>
                    <a:noFill/>
                    <a:ln>
                      <a:noFill/>
                    </a:ln>
                  </pic:spPr>
                </pic:pic>
              </a:graphicData>
            </a:graphic>
          </wp:anchor>
        </w:drawing>
      </w:r>
      <w:r>
        <w:rPr>
          <w:rFonts w:hint="eastAsia" w:ascii="宋体" w:hAnsi="宋体"/>
          <w:kern w:val="0"/>
          <w:sz w:val="24"/>
          <w:szCs w:val="24"/>
        </w:rPr>
        <w:drawing>
          <wp:anchor distT="0" distB="0" distL="114300" distR="114300" simplePos="0" relativeHeight="251659264" behindDoc="0" locked="0" layoutInCell="1" allowOverlap="1">
            <wp:simplePos x="0" y="0"/>
            <wp:positionH relativeFrom="column">
              <wp:posOffset>468630</wp:posOffset>
            </wp:positionH>
            <wp:positionV relativeFrom="paragraph">
              <wp:posOffset>91440</wp:posOffset>
            </wp:positionV>
            <wp:extent cx="3053715" cy="2152650"/>
            <wp:effectExtent l="0" t="0" r="13335"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3053715" cy="2152650"/>
                    </a:xfrm>
                    <a:prstGeom prst="rect">
                      <a:avLst/>
                    </a:prstGeom>
                    <a:noFill/>
                    <a:ln>
                      <a:noFill/>
                    </a:ln>
                  </pic:spPr>
                </pic:pic>
              </a:graphicData>
            </a:graphic>
          </wp:anchor>
        </w:drawing>
      </w:r>
      <w:r>
        <w:rPr>
          <w:rFonts w:hint="eastAsia" w:ascii="宋体" w:hAnsi="宋体"/>
          <w:kern w:val="0"/>
          <w:sz w:val="24"/>
          <w:szCs w:val="24"/>
        </w:rPr>
        <w:t xml:space="preserve">2.整体制作要求 </w:t>
      </w:r>
    </w:p>
    <w:p>
      <w:pPr>
        <w:spacing w:line="360" w:lineRule="auto"/>
        <w:ind w:firstLine="480" w:firstLineChars="200"/>
        <w:rPr>
          <w:rFonts w:ascii="宋体" w:hAnsi="宋体"/>
          <w:kern w:val="0"/>
          <w:sz w:val="24"/>
          <w:szCs w:val="24"/>
        </w:rPr>
      </w:pPr>
      <w:r>
        <w:rPr>
          <w:rFonts w:hint="eastAsia" w:ascii="宋体" w:hAnsi="宋体"/>
          <w:kern w:val="0"/>
          <w:sz w:val="24"/>
          <w:szCs w:val="24"/>
        </w:rPr>
        <w:t>（1）体现项目整体的规模、高端感。</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（2）根据实际层高、模型摆放位置和周边长宽尺度来拟定最佳比例，突出重点，与整体环境搭配协调。 </w:t>
      </w:r>
    </w:p>
    <w:p>
      <w:pPr>
        <w:spacing w:line="360" w:lineRule="auto"/>
        <w:ind w:firstLine="480" w:firstLineChars="200"/>
        <w:rPr>
          <w:rFonts w:ascii="宋体" w:hAnsi="宋体"/>
          <w:kern w:val="0"/>
          <w:sz w:val="24"/>
          <w:szCs w:val="24"/>
        </w:rPr>
      </w:pPr>
      <w:r>
        <w:rPr>
          <w:rFonts w:hint="eastAsia" w:ascii="宋体" w:hAnsi="宋体"/>
          <w:kern w:val="0"/>
          <w:sz w:val="24"/>
          <w:szCs w:val="24"/>
        </w:rPr>
        <w:t>（3）做工：材质要有档次感，要求精致具有艺术美感，细节质感考究。</w:t>
      </w:r>
    </w:p>
    <w:p>
      <w:pPr>
        <w:spacing w:line="360" w:lineRule="auto"/>
        <w:ind w:firstLine="480" w:firstLineChars="200"/>
        <w:rPr>
          <w:rFonts w:ascii="宋体" w:hAnsi="宋体"/>
          <w:kern w:val="0"/>
          <w:sz w:val="24"/>
          <w:szCs w:val="24"/>
        </w:rPr>
      </w:pPr>
      <w:r>
        <w:rPr>
          <w:rFonts w:hint="eastAsia" w:ascii="宋体" w:hAnsi="宋体"/>
          <w:kern w:val="0"/>
          <w:sz w:val="24"/>
          <w:szCs w:val="24"/>
        </w:rPr>
        <w:t>（4）运用新颖的灯光效果，打造项目高端品质感受，切勿过于花哨。</w:t>
      </w:r>
    </w:p>
    <w:p>
      <w:pPr>
        <w:spacing w:line="360" w:lineRule="auto"/>
        <w:ind w:firstLine="480" w:firstLineChars="200"/>
        <w:rPr>
          <w:rFonts w:ascii="宋体" w:hAnsi="宋体"/>
          <w:kern w:val="0"/>
          <w:sz w:val="24"/>
          <w:szCs w:val="24"/>
        </w:rPr>
      </w:pPr>
      <w:r>
        <w:rPr>
          <w:rFonts w:hint="eastAsia" w:ascii="宋体" w:hAnsi="宋体"/>
          <w:kern w:val="0"/>
          <w:sz w:val="24"/>
          <w:szCs w:val="24"/>
        </w:rPr>
        <w:t>（5）运用新科技手法来彰显项目交通优势。</w:t>
      </w:r>
    </w:p>
    <w:p>
      <w:pPr>
        <w:spacing w:line="360" w:lineRule="auto"/>
        <w:ind w:firstLine="480" w:firstLineChars="200"/>
        <w:rPr>
          <w:rFonts w:ascii="宋体" w:hAnsi="宋体"/>
          <w:kern w:val="0"/>
          <w:sz w:val="24"/>
          <w:szCs w:val="24"/>
        </w:rPr>
      </w:pPr>
      <w:r>
        <w:rPr>
          <w:rFonts w:hint="eastAsia" w:ascii="宋体" w:hAnsi="宋体"/>
          <w:kern w:val="0"/>
          <w:sz w:val="24"/>
          <w:szCs w:val="24"/>
        </w:rPr>
        <w:t>（6）运用升降技术，立体展示盖上部分，保证盖上部分可整体抬高展示。</w:t>
      </w:r>
    </w:p>
    <w:p>
      <w:pPr>
        <w:spacing w:line="360" w:lineRule="auto"/>
        <w:ind w:firstLine="480" w:firstLineChars="200"/>
        <w:rPr>
          <w:rFonts w:ascii="宋体" w:hAnsi="宋体"/>
          <w:kern w:val="0"/>
          <w:sz w:val="24"/>
          <w:szCs w:val="24"/>
        </w:rPr>
      </w:pPr>
      <w:r>
        <w:rPr>
          <w:rFonts w:hint="eastAsia" w:ascii="宋体" w:hAnsi="宋体"/>
          <w:kern w:val="0"/>
          <w:sz w:val="24"/>
          <w:szCs w:val="24"/>
        </w:rPr>
        <w:t>（7）包含底座：材质为石材或烤漆</w:t>
      </w:r>
    </w:p>
    <w:p>
      <w:pPr>
        <w:spacing w:line="360" w:lineRule="auto"/>
        <w:ind w:firstLine="480" w:firstLineChars="200"/>
        <w:rPr>
          <w:rFonts w:ascii="宋体" w:hAnsi="宋体"/>
          <w:kern w:val="0"/>
          <w:sz w:val="24"/>
          <w:szCs w:val="24"/>
        </w:rPr>
      </w:pPr>
      <w:r>
        <w:rPr>
          <w:rFonts w:hint="eastAsia" w:ascii="宋体" w:hAnsi="宋体"/>
          <w:kern w:val="0"/>
          <w:sz w:val="24"/>
          <w:szCs w:val="24"/>
        </w:rPr>
        <w:t>3.建筑部分</w:t>
      </w:r>
    </w:p>
    <w:p>
      <w:pPr>
        <w:spacing w:line="360" w:lineRule="auto"/>
        <w:ind w:firstLine="480" w:firstLineChars="200"/>
        <w:rPr>
          <w:rFonts w:ascii="宋体" w:hAnsi="宋体"/>
          <w:kern w:val="0"/>
          <w:sz w:val="24"/>
          <w:szCs w:val="24"/>
        </w:rPr>
      </w:pPr>
      <w:r>
        <w:rPr>
          <w:rFonts w:hint="eastAsia" w:ascii="宋体" w:hAnsi="宋体"/>
          <w:kern w:val="0"/>
          <w:sz w:val="24"/>
          <w:szCs w:val="24"/>
        </w:rPr>
        <w:t>（1）建筑物墙体：采用进口ABS板和亚克力等为材料，将施工图纸的AUTOCAD文件转化为电脑雕刻文件，再经激光切割机切割出相应的墙面材料，由熟练的技师采用氧化无缝粘接工艺制作，并精细打磨，确保单体接口处完整无缝且高度平整。</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（2）建筑细节金属表现：门框、窗框、栏杆、墙体线条、屋顶构架等建筑线条采用激光切割机制作。 </w:t>
      </w:r>
    </w:p>
    <w:p>
      <w:pPr>
        <w:spacing w:line="360" w:lineRule="auto"/>
        <w:ind w:firstLine="480" w:firstLineChars="200"/>
        <w:rPr>
          <w:rFonts w:ascii="宋体" w:hAnsi="宋体"/>
          <w:kern w:val="0"/>
          <w:sz w:val="24"/>
          <w:szCs w:val="24"/>
        </w:rPr>
      </w:pPr>
      <w:r>
        <w:rPr>
          <w:rFonts w:hint="eastAsia" w:ascii="宋体" w:hAnsi="宋体"/>
          <w:kern w:val="0"/>
          <w:sz w:val="24"/>
          <w:szCs w:val="24"/>
        </w:rPr>
        <w:t>（3）玻璃镜面贴膜：采用激光切割机在亚克力板等材料上刻画窗线，并根据图纸制作出窗框及浅色透明的中空玻璃效果,采用进口三菱光电镀膜玻璃工艺制作。</w:t>
      </w:r>
    </w:p>
    <w:p>
      <w:pPr>
        <w:spacing w:line="360" w:lineRule="auto"/>
        <w:ind w:firstLine="480" w:firstLineChars="200"/>
        <w:rPr>
          <w:rFonts w:ascii="宋体" w:hAnsi="宋体"/>
          <w:kern w:val="0"/>
          <w:sz w:val="24"/>
          <w:szCs w:val="24"/>
        </w:rPr>
      </w:pPr>
      <w:r>
        <w:rPr>
          <w:rFonts w:hint="eastAsia" w:ascii="宋体" w:hAnsi="宋体"/>
          <w:kern w:val="0"/>
          <w:sz w:val="24"/>
          <w:szCs w:val="24"/>
        </w:rPr>
        <w:t>（4）灯光采用光源采用分户灯光系统，每户独立灯源操控，双层层板设计，还原建筑设计结构，设置3-5种灯光瞬间编程展示（LDE灯光跳动带呼吸灯）。</w:t>
      </w:r>
    </w:p>
    <w:p>
      <w:pPr>
        <w:tabs>
          <w:tab w:val="left" w:pos="525"/>
        </w:tabs>
        <w:spacing w:before="156" w:beforeLines="50" w:after="156" w:afterLines="50" w:line="360" w:lineRule="auto"/>
        <w:ind w:firstLine="240" w:firstLineChars="100"/>
        <w:rPr>
          <w:rFonts w:ascii="宋体" w:hAnsi="宋体"/>
          <w:kern w:val="0"/>
          <w:sz w:val="24"/>
          <w:szCs w:val="24"/>
        </w:rPr>
      </w:pPr>
      <w:r>
        <w:rPr>
          <w:rFonts w:hint="eastAsia" w:ascii="宋体" w:hAnsi="宋体"/>
          <w:kern w:val="0"/>
          <w:sz w:val="24"/>
          <w:szCs w:val="24"/>
        </w:rPr>
        <w:t>（建筑外立面参考图如下）</w:t>
      </w:r>
    </w:p>
    <w:p>
      <w:pPr>
        <w:pStyle w:val="11"/>
        <w:spacing w:line="360" w:lineRule="auto"/>
        <w:ind w:left="440"/>
        <w:rPr>
          <w:rFonts w:ascii="宋体" w:hAnsi="宋体"/>
          <w:sz w:val="24"/>
          <w:szCs w:val="24"/>
        </w:rPr>
      </w:pPr>
      <w:r>
        <w:rPr>
          <w:rFonts w:hint="eastAsia" w:ascii="宋体" w:hAnsi="宋体"/>
          <w:sz w:val="24"/>
          <w:szCs w:val="24"/>
        </w:rPr>
        <w:drawing>
          <wp:inline distT="0" distB="0" distL="114300" distR="114300">
            <wp:extent cx="4342130" cy="2184400"/>
            <wp:effectExtent l="0" t="0" r="127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4342130" cy="2184400"/>
                    </a:xfrm>
                    <a:prstGeom prst="rect">
                      <a:avLst/>
                    </a:prstGeom>
                    <a:noFill/>
                    <a:ln>
                      <a:noFill/>
                    </a:ln>
                  </pic:spPr>
                </pic:pic>
              </a:graphicData>
            </a:graphic>
          </wp:inline>
        </w:drawing>
      </w:r>
    </w:p>
    <w:p>
      <w:pPr>
        <w:pStyle w:val="11"/>
        <w:spacing w:line="360" w:lineRule="auto"/>
        <w:ind w:left="440"/>
        <w:rPr>
          <w:rFonts w:ascii="宋体" w:hAnsi="宋体"/>
          <w:sz w:val="24"/>
          <w:szCs w:val="24"/>
        </w:rPr>
      </w:pPr>
      <w:r>
        <w:rPr>
          <w:rFonts w:hint="eastAsia" w:ascii="宋体" w:hAnsi="宋体"/>
          <w:sz w:val="24"/>
          <w:szCs w:val="24"/>
        </w:rPr>
        <w:t>（双层夹板、灯光效果、窗台金属条参考图如下）</w:t>
      </w:r>
    </w:p>
    <w:p>
      <w:pPr>
        <w:pStyle w:val="11"/>
        <w:spacing w:line="360" w:lineRule="auto"/>
        <w:ind w:left="440"/>
        <w:rPr>
          <w:rFonts w:ascii="宋体" w:hAnsi="宋体"/>
          <w:sz w:val="24"/>
          <w:szCs w:val="24"/>
        </w:rPr>
      </w:pPr>
      <w:r>
        <w:rPr>
          <w:rFonts w:hint="eastAsia" w:ascii="宋体" w:hAnsi="宋体"/>
          <w:sz w:val="24"/>
          <w:szCs w:val="24"/>
        </w:rPr>
        <w:drawing>
          <wp:inline distT="0" distB="0" distL="114300" distR="114300">
            <wp:extent cx="2655570" cy="2356485"/>
            <wp:effectExtent l="0" t="0" r="11430" b="571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
                    <a:stretch>
                      <a:fillRect/>
                    </a:stretch>
                  </pic:blipFill>
                  <pic:spPr>
                    <a:xfrm>
                      <a:off x="0" y="0"/>
                      <a:ext cx="2655570" cy="2356485"/>
                    </a:xfrm>
                    <a:prstGeom prst="rect">
                      <a:avLst/>
                    </a:prstGeom>
                    <a:noFill/>
                    <a:ln>
                      <a:noFill/>
                    </a:ln>
                  </pic:spPr>
                </pic:pic>
              </a:graphicData>
            </a:graphic>
          </wp:inline>
        </w:drawing>
      </w:r>
      <w:r>
        <w:rPr>
          <w:rFonts w:hint="eastAsia" w:ascii="宋体" w:hAnsi="宋体"/>
          <w:sz w:val="24"/>
          <w:szCs w:val="24"/>
        </w:rPr>
        <w:drawing>
          <wp:inline distT="0" distB="0" distL="114300" distR="114300">
            <wp:extent cx="2012315" cy="2365375"/>
            <wp:effectExtent l="0" t="0" r="6985" b="1587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2012315" cy="2365375"/>
                    </a:xfrm>
                    <a:prstGeom prst="rect">
                      <a:avLst/>
                    </a:prstGeom>
                    <a:noFill/>
                    <a:ln>
                      <a:noFill/>
                    </a:ln>
                  </pic:spPr>
                </pic:pic>
              </a:graphicData>
            </a:graphic>
          </wp:inline>
        </w:drawing>
      </w:r>
    </w:p>
    <w:p>
      <w:pPr>
        <w:spacing w:line="360" w:lineRule="auto"/>
        <w:ind w:firstLine="480" w:firstLineChars="200"/>
        <w:rPr>
          <w:rFonts w:ascii="宋体" w:hAnsi="宋体"/>
          <w:kern w:val="0"/>
          <w:sz w:val="24"/>
          <w:szCs w:val="24"/>
        </w:rPr>
      </w:pPr>
      <w:r>
        <w:rPr>
          <w:rFonts w:hint="eastAsia" w:ascii="宋体" w:hAnsi="宋体"/>
          <w:kern w:val="0"/>
          <w:sz w:val="24"/>
          <w:szCs w:val="24"/>
        </w:rPr>
        <w:t>4.景观部分</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（1）整体效果：根据项目设计风格，充分理解建筑师设计意图，采用上等的进口物料为主，以丰富的细节表现出环境设计的优美。 </w:t>
      </w:r>
    </w:p>
    <w:p>
      <w:pPr>
        <w:spacing w:line="360" w:lineRule="auto"/>
        <w:ind w:firstLine="480" w:firstLineChars="200"/>
        <w:rPr>
          <w:rFonts w:ascii="宋体" w:hAnsi="宋体"/>
          <w:kern w:val="0"/>
          <w:sz w:val="24"/>
          <w:szCs w:val="24"/>
        </w:rPr>
      </w:pPr>
      <w:r>
        <w:rPr>
          <w:rFonts w:hint="eastAsia" w:ascii="宋体" w:hAnsi="宋体"/>
          <w:kern w:val="0"/>
          <w:sz w:val="24"/>
          <w:szCs w:val="24"/>
        </w:rPr>
        <w:t>（2）硬化铺地：根据设计图纸，通过激光切割机刻画出硬化地砖图案，采用UV打印技术实现色彩鲜明色泽艳丽，通过丰富多变的色彩和精细的图案，体现出硬化铺装的品质的气氛。</w:t>
      </w:r>
    </w:p>
    <w:p>
      <w:pPr>
        <w:spacing w:line="360" w:lineRule="auto"/>
        <w:ind w:firstLine="480" w:firstLineChars="200"/>
        <w:rPr>
          <w:rFonts w:ascii="宋体" w:hAnsi="宋体"/>
          <w:kern w:val="0"/>
          <w:sz w:val="24"/>
          <w:szCs w:val="24"/>
        </w:rPr>
      </w:pPr>
      <w:r>
        <w:rPr>
          <w:rFonts w:hint="eastAsia" w:ascii="宋体" w:hAnsi="宋体"/>
          <w:kern w:val="0"/>
          <w:sz w:val="24"/>
          <w:szCs w:val="24"/>
        </w:rPr>
        <w:t>（3）河流水系：采用模型专用水纹玻璃喷绘出湖蓝色，并用进口HB模型塑造动感逼真的水纹效果，安装泳池水底部曝光,以达到最佳的视觉效果。</w:t>
      </w:r>
    </w:p>
    <w:p>
      <w:pPr>
        <w:spacing w:line="360" w:lineRule="auto"/>
        <w:ind w:firstLine="480" w:firstLineChars="200"/>
        <w:rPr>
          <w:rFonts w:ascii="宋体" w:hAnsi="宋体"/>
          <w:kern w:val="0"/>
          <w:sz w:val="24"/>
          <w:szCs w:val="24"/>
        </w:rPr>
      </w:pPr>
      <w:r>
        <w:rPr>
          <w:rFonts w:hint="eastAsia" w:ascii="宋体" w:hAnsi="宋体"/>
          <w:kern w:val="0"/>
          <w:sz w:val="24"/>
          <w:szCs w:val="24"/>
        </w:rPr>
        <w:t>（4）绿化环境：根据环境景观设计图纸，根据不同的功能分区，种植相应的乔木、灌木、花草及植被，树形采用金属材质塑型处理，确保逼真度，保证树种饱和度，做出景观组团层次感。</w:t>
      </w:r>
    </w:p>
    <w:p>
      <w:pPr>
        <w:spacing w:line="360" w:lineRule="auto"/>
        <w:ind w:firstLine="480" w:firstLineChars="200"/>
        <w:rPr>
          <w:rFonts w:ascii="宋体" w:hAnsi="宋体"/>
          <w:kern w:val="0"/>
          <w:sz w:val="24"/>
          <w:szCs w:val="24"/>
        </w:rPr>
      </w:pPr>
      <w:r>
        <w:rPr>
          <w:rFonts w:hint="eastAsia" w:ascii="宋体" w:hAnsi="宋体"/>
          <w:kern w:val="0"/>
          <w:sz w:val="24"/>
          <w:szCs w:val="24"/>
        </w:rPr>
        <w:t>（5）配套设施：人行道、绿化带、栏杆、路灯、地灯、庭院灯、路牌、休闲椅等配套设施，在造型风格与色彩上都应与主体建筑和整体环境相协调且相互呼应，并在整个环境中配置灯光效果。</w:t>
      </w:r>
    </w:p>
    <w:p>
      <w:pPr>
        <w:spacing w:line="360" w:lineRule="auto"/>
        <w:ind w:firstLine="480" w:firstLineChars="200"/>
        <w:rPr>
          <w:rFonts w:ascii="宋体" w:hAnsi="宋体"/>
          <w:kern w:val="0"/>
          <w:sz w:val="24"/>
          <w:szCs w:val="24"/>
        </w:rPr>
      </w:pPr>
      <w:r>
        <w:rPr>
          <w:rFonts w:hint="eastAsia" w:ascii="宋体" w:hAnsi="宋体"/>
          <w:kern w:val="0"/>
          <w:sz w:val="24"/>
          <w:szCs w:val="24"/>
        </w:rPr>
        <w:t>（6）路网金属质感：路网采用金属不锈钢或钢化真玻璃材料制作，体现模型沙盘整体品质质感。</w:t>
      </w:r>
    </w:p>
    <w:p>
      <w:pPr>
        <w:pStyle w:val="11"/>
        <w:spacing w:line="360" w:lineRule="auto"/>
        <w:ind w:left="440" w:firstLine="120" w:firstLineChars="50"/>
        <w:rPr>
          <w:rFonts w:ascii="宋体" w:hAnsi="宋体"/>
          <w:sz w:val="24"/>
          <w:szCs w:val="24"/>
        </w:rPr>
      </w:pPr>
      <w:r>
        <w:rPr>
          <w:rFonts w:hint="eastAsia" w:ascii="宋体" w:hAnsi="宋体"/>
          <w:sz w:val="24"/>
          <w:szCs w:val="24"/>
        </w:rPr>
        <w:t>(景观参考如下)</w:t>
      </w:r>
    </w:p>
    <w:p>
      <w:pPr>
        <w:pStyle w:val="11"/>
        <w:spacing w:line="360" w:lineRule="auto"/>
        <w:ind w:left="440" w:firstLine="120" w:firstLineChars="50"/>
        <w:rPr>
          <w:rFonts w:ascii="宋体" w:hAnsi="宋体"/>
          <w:sz w:val="24"/>
          <w:szCs w:val="24"/>
        </w:rPr>
      </w:pPr>
      <w:r>
        <w:rPr>
          <w:rFonts w:hint="eastAsia" w:ascii="宋体" w:hAnsi="宋体"/>
          <w:sz w:val="24"/>
          <w:szCs w:val="24"/>
        </w:rPr>
        <w:drawing>
          <wp:inline distT="0" distB="0" distL="114300" distR="114300">
            <wp:extent cx="2408555" cy="1806575"/>
            <wp:effectExtent l="0" t="0" r="10795" b="317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2408555" cy="1806575"/>
                    </a:xfrm>
                    <a:prstGeom prst="rect">
                      <a:avLst/>
                    </a:prstGeom>
                    <a:noFill/>
                    <a:ln>
                      <a:noFill/>
                    </a:ln>
                  </pic:spPr>
                </pic:pic>
              </a:graphicData>
            </a:graphic>
          </wp:inline>
        </w:drawing>
      </w:r>
      <w:r>
        <w:rPr>
          <w:rFonts w:hint="eastAsia" w:ascii="宋体" w:hAnsi="宋体"/>
          <w:sz w:val="24"/>
          <w:szCs w:val="24"/>
        </w:rPr>
        <w:drawing>
          <wp:inline distT="0" distB="0" distL="114300" distR="114300">
            <wp:extent cx="2800350" cy="1910080"/>
            <wp:effectExtent l="0" t="0" r="0" b="1397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0"/>
                    <a:stretch>
                      <a:fillRect/>
                    </a:stretch>
                  </pic:blipFill>
                  <pic:spPr>
                    <a:xfrm>
                      <a:off x="0" y="0"/>
                      <a:ext cx="2800350" cy="1910080"/>
                    </a:xfrm>
                    <a:prstGeom prst="rect">
                      <a:avLst/>
                    </a:prstGeom>
                    <a:noFill/>
                    <a:ln>
                      <a:noFill/>
                    </a:ln>
                  </pic:spPr>
                </pic:pic>
              </a:graphicData>
            </a:graphic>
          </wp:inline>
        </w:drawing>
      </w:r>
    </w:p>
    <w:p>
      <w:pPr>
        <w:pStyle w:val="11"/>
        <w:spacing w:line="360" w:lineRule="auto"/>
        <w:ind w:left="440" w:firstLine="120" w:firstLineChars="50"/>
        <w:rPr>
          <w:rFonts w:ascii="宋体" w:hAnsi="宋体"/>
          <w:sz w:val="24"/>
          <w:szCs w:val="24"/>
        </w:rPr>
      </w:pPr>
      <w:r>
        <w:rPr>
          <w:rFonts w:hint="eastAsia" w:ascii="宋体" w:hAnsi="宋体"/>
          <w:sz w:val="24"/>
          <w:szCs w:val="24"/>
        </w:rPr>
        <w:t>（马路交通路网参考图如下：）</w:t>
      </w:r>
    </w:p>
    <w:p>
      <w:pPr>
        <w:pStyle w:val="11"/>
        <w:spacing w:line="360" w:lineRule="auto"/>
        <w:ind w:left="440" w:firstLine="120" w:firstLineChars="50"/>
        <w:rPr>
          <w:rFonts w:ascii="宋体" w:hAnsi="宋体"/>
          <w:sz w:val="24"/>
          <w:szCs w:val="24"/>
        </w:rPr>
      </w:pPr>
      <w:r>
        <w:rPr>
          <w:rFonts w:hint="eastAsia" w:ascii="宋体" w:hAnsi="宋体"/>
          <w:sz w:val="24"/>
          <w:szCs w:val="24"/>
        </w:rPr>
        <w:drawing>
          <wp:inline distT="0" distB="0" distL="114300" distR="114300">
            <wp:extent cx="2521585" cy="1932940"/>
            <wp:effectExtent l="0" t="0" r="12065" b="1016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1"/>
                    <a:stretch>
                      <a:fillRect/>
                    </a:stretch>
                  </pic:blipFill>
                  <pic:spPr>
                    <a:xfrm>
                      <a:off x="0" y="0"/>
                      <a:ext cx="2521585" cy="1932940"/>
                    </a:xfrm>
                    <a:prstGeom prst="rect">
                      <a:avLst/>
                    </a:prstGeom>
                    <a:noFill/>
                    <a:ln>
                      <a:noFill/>
                    </a:ln>
                  </pic:spPr>
                </pic:pic>
              </a:graphicData>
            </a:graphic>
          </wp:inline>
        </w:drawing>
      </w:r>
      <w:r>
        <w:rPr>
          <w:rFonts w:hint="eastAsia" w:ascii="宋体" w:hAnsi="宋体"/>
          <w:sz w:val="24"/>
          <w:szCs w:val="24"/>
        </w:rPr>
        <w:t xml:space="preserve"> </w:t>
      </w:r>
      <w:r>
        <w:rPr>
          <w:rFonts w:hint="eastAsia" w:ascii="宋体" w:hAnsi="宋体"/>
          <w:sz w:val="24"/>
          <w:szCs w:val="24"/>
        </w:rPr>
        <w:drawing>
          <wp:inline distT="0" distB="0" distL="114300" distR="114300">
            <wp:extent cx="2469515" cy="1936750"/>
            <wp:effectExtent l="0" t="0" r="6985" b="635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2"/>
                    <a:stretch>
                      <a:fillRect/>
                    </a:stretch>
                  </pic:blipFill>
                  <pic:spPr>
                    <a:xfrm>
                      <a:off x="0" y="0"/>
                      <a:ext cx="2469515" cy="1936750"/>
                    </a:xfrm>
                    <a:prstGeom prst="rect">
                      <a:avLst/>
                    </a:prstGeom>
                    <a:noFill/>
                    <a:ln>
                      <a:noFill/>
                    </a:ln>
                  </pic:spPr>
                </pic:pic>
              </a:graphicData>
            </a:graphic>
          </wp:inline>
        </w:drawing>
      </w:r>
    </w:p>
    <w:p>
      <w:pPr>
        <w:numPr>
          <w:ilvl w:val="0"/>
          <w:numId w:val="2"/>
        </w:numPr>
        <w:spacing w:line="360" w:lineRule="auto"/>
        <w:ind w:firstLine="480" w:firstLineChars="200"/>
        <w:rPr>
          <w:rFonts w:ascii="宋体" w:hAnsi="宋体"/>
          <w:kern w:val="0"/>
          <w:sz w:val="24"/>
          <w:szCs w:val="24"/>
        </w:rPr>
      </w:pPr>
      <w:r>
        <w:rPr>
          <w:rFonts w:hint="eastAsia" w:ascii="宋体" w:hAnsi="宋体"/>
          <w:kern w:val="0"/>
          <w:sz w:val="24"/>
          <w:szCs w:val="24"/>
        </w:rPr>
        <w:t>主材要求</w:t>
      </w:r>
    </w:p>
    <w:p>
      <w:pPr>
        <w:spacing w:line="360" w:lineRule="auto"/>
        <w:rPr>
          <w:rFonts w:ascii="宋体" w:hAnsi="宋体"/>
          <w:kern w:val="0"/>
          <w:sz w:val="24"/>
          <w:szCs w:val="24"/>
        </w:rPr>
      </w:pPr>
    </w:p>
    <w:tbl>
      <w:tblPr>
        <w:tblStyle w:val="8"/>
        <w:tblW w:w="9186" w:type="dxa"/>
        <w:jc w:val="center"/>
        <w:tblLayout w:type="fixed"/>
        <w:tblCellMar>
          <w:top w:w="0" w:type="dxa"/>
          <w:left w:w="108" w:type="dxa"/>
          <w:bottom w:w="0" w:type="dxa"/>
          <w:right w:w="108" w:type="dxa"/>
        </w:tblCellMar>
      </w:tblPr>
      <w:tblGrid>
        <w:gridCol w:w="683"/>
        <w:gridCol w:w="1753"/>
        <w:gridCol w:w="1367"/>
        <w:gridCol w:w="5383"/>
      </w:tblGrid>
      <w:tr>
        <w:tblPrEx>
          <w:tblCellMar>
            <w:top w:w="0" w:type="dxa"/>
            <w:left w:w="108" w:type="dxa"/>
            <w:bottom w:w="0" w:type="dxa"/>
            <w:right w:w="108" w:type="dxa"/>
          </w:tblCellMar>
        </w:tblPrEx>
        <w:trPr>
          <w:trHeight w:val="285" w:hRule="atLeast"/>
          <w:tblHeader/>
          <w:jc w:val="center"/>
        </w:trPr>
        <w:tc>
          <w:tcPr>
            <w:tcW w:w="243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项目</w:t>
            </w:r>
          </w:p>
        </w:tc>
        <w:tc>
          <w:tcPr>
            <w:tcW w:w="6750" w:type="dxa"/>
            <w:gridSpan w:val="2"/>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主材料说明</w:t>
            </w:r>
          </w:p>
        </w:tc>
      </w:tr>
      <w:tr>
        <w:tblPrEx>
          <w:tblCellMar>
            <w:top w:w="0" w:type="dxa"/>
            <w:left w:w="108" w:type="dxa"/>
            <w:bottom w:w="0" w:type="dxa"/>
            <w:right w:w="108" w:type="dxa"/>
          </w:tblCellMar>
        </w:tblPrEx>
        <w:trPr>
          <w:trHeight w:val="285" w:hRule="atLeast"/>
          <w:tblHeader/>
          <w:jc w:val="center"/>
        </w:trPr>
        <w:tc>
          <w:tcPr>
            <w:tcW w:w="243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材料</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工艺/特点</w:t>
            </w:r>
          </w:p>
        </w:tc>
      </w:tr>
      <w:tr>
        <w:tblPrEx>
          <w:tblCellMar>
            <w:top w:w="0" w:type="dxa"/>
            <w:left w:w="108" w:type="dxa"/>
            <w:bottom w:w="0" w:type="dxa"/>
            <w:right w:w="108" w:type="dxa"/>
          </w:tblCellMar>
        </w:tblPrEx>
        <w:trPr>
          <w:trHeight w:val="76"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建筑</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不透明墙体及天花</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ABS板/亚克力</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可塑性好，抗变形性能力强，便于切割、雕刻，平整度高，易着色</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柱门窗框装饰构件</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 xml:space="preserve">ABS板/亚克力 </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可塑性好，抗变形性能力强，便于切割、雕刻，平整度高，易着色</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普通玻璃</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亚克力</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抗变形能力强，透明度好，颜色保持与效果图一致，仿真度高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玻璃幕墙</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亚克力/有机玻璃</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抗变形能力强，透明度好，颜色保持与效果图一致，仿真度高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透明墙体及天花</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 xml:space="preserve">亚克力/有机玻璃 </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 xml:space="preserve">抗变形能力强，透明度好 </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LED灯</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灯光色彩多样均匀、灯光柔和、使用寿命长</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小品</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室内</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w:t>
            </w:r>
          </w:p>
        </w:tc>
        <w:tc>
          <w:tcPr>
            <w:tcW w:w="5383"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景观/车辆等</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合金汽车</w:t>
            </w:r>
          </w:p>
        </w:tc>
        <w:tc>
          <w:tcPr>
            <w:tcW w:w="5383"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景观</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树木灌木</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纯手工树/定制金属树</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质感强，仿真度高，款式多样</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草皮/草坪/草粉/草绒</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塑胶、海绵/定制草粉</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质感强，仿真度高，色彩饱和多样</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地形</w:t>
            </w:r>
          </w:p>
        </w:tc>
        <w:tc>
          <w:tcPr>
            <w:tcW w:w="1367" w:type="dxa"/>
            <w:tcBorders>
              <w:top w:val="nil"/>
              <w:left w:val="nil"/>
              <w:bottom w:val="single" w:color="auto" w:sz="4" w:space="0"/>
              <w:right w:val="single" w:color="auto" w:sz="4" w:space="0"/>
            </w:tcBorders>
            <w:noWrap/>
            <w:vAlign w:val="center"/>
          </w:tcPr>
          <w:p>
            <w:pPr>
              <w:jc w:val="center"/>
              <w:rPr>
                <w:rFonts w:ascii="楷体" w:hAnsi="楷体" w:eastAsia="楷体" w:cs="楷体"/>
                <w:kern w:val="0"/>
                <w:szCs w:val="21"/>
              </w:rPr>
            </w:pPr>
            <w:r>
              <w:rPr>
                <w:rFonts w:hint="eastAsia" w:ascii="楷体" w:hAnsi="楷体" w:eastAsia="楷体" w:cs="楷体"/>
                <w:kern w:val="0"/>
                <w:szCs w:val="21"/>
              </w:rPr>
              <w:t>石膏/木板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硬度强，不易变形</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水景</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仿真水</w:t>
            </w:r>
          </w:p>
        </w:tc>
        <w:tc>
          <w:tcPr>
            <w:tcW w:w="5383"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LED灯</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灯光色彩多样均匀、灯光柔和、使用寿命长</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地面</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概念铺装</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UV打印制作，一体成型；质感强，色彩丰富，抗变形性能力强</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写实铺装</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UV打印制作，一体成型；质感强，色彩丰富，抗变形性能力强</w:t>
            </w:r>
          </w:p>
        </w:tc>
      </w:tr>
      <w:tr>
        <w:tblPrEx>
          <w:tblCellMar>
            <w:top w:w="0" w:type="dxa"/>
            <w:left w:w="108" w:type="dxa"/>
            <w:bottom w:w="0" w:type="dxa"/>
            <w:right w:w="108" w:type="dxa"/>
          </w:tblCellMar>
        </w:tblPrEx>
        <w:trPr>
          <w:trHeight w:val="70" w:hRule="atLeast"/>
          <w:tblHeader/>
          <w:jc w:val="center"/>
        </w:trPr>
        <w:tc>
          <w:tcPr>
            <w:tcW w:w="243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灯控系统</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触摸屏控制系统</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智能，便捷，寿命长</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底盘</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底板</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木板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防火，防虫，防潮</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底板龙骨/支架</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铝合金/木板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牢固</w:t>
            </w:r>
          </w:p>
        </w:tc>
      </w:tr>
    </w:tbl>
    <w:p>
      <w:pPr>
        <w:spacing w:line="360" w:lineRule="auto"/>
        <w:rPr>
          <w:rFonts w:ascii="宋体" w:hAnsi="宋体"/>
          <w:kern w:val="0"/>
          <w:sz w:val="24"/>
          <w:szCs w:val="24"/>
        </w:rPr>
      </w:pPr>
    </w:p>
    <w:p>
      <w:pPr>
        <w:spacing w:line="360" w:lineRule="auto"/>
        <w:ind w:firstLine="480" w:firstLineChars="200"/>
        <w:rPr>
          <w:rFonts w:ascii="宋体" w:hAnsi="宋体"/>
          <w:kern w:val="0"/>
          <w:sz w:val="24"/>
          <w:szCs w:val="24"/>
        </w:rPr>
      </w:pPr>
      <w:r>
        <w:rPr>
          <w:rFonts w:hint="eastAsia" w:ascii="宋体" w:hAnsi="宋体"/>
          <w:kern w:val="0"/>
          <w:sz w:val="24"/>
          <w:szCs w:val="24"/>
        </w:rPr>
        <w:t>6.分户模型</w:t>
      </w:r>
    </w:p>
    <w:p>
      <w:pPr>
        <w:pStyle w:val="11"/>
        <w:spacing w:line="360" w:lineRule="auto"/>
        <w:ind w:firstLine="480" w:firstLineChars="200"/>
        <w:rPr>
          <w:rFonts w:ascii="宋体" w:hAnsi="宋体"/>
          <w:sz w:val="24"/>
          <w:szCs w:val="24"/>
        </w:rPr>
      </w:pPr>
      <w:r>
        <w:rPr>
          <w:rFonts w:hint="eastAsia" w:ascii="宋体" w:hAnsi="宋体"/>
          <w:sz w:val="24"/>
          <w:szCs w:val="24"/>
        </w:rPr>
        <w:t>（1）叠墅户型展示范围：1栋单层平面180㎡，分01单元、02单元：01单元、共4层，2户，上叠2层、下叠2层；02单元，共4层，2户，上叠2层，下叠2层。要求整栋展示，比例1:25，地上共4层，要求每层均可升降。制作包含底座，材料石材或烤漆。叠墅单层平面图示意如下：</w:t>
      </w:r>
    </w:p>
    <w:p>
      <w:pPr>
        <w:pStyle w:val="11"/>
        <w:spacing w:line="360" w:lineRule="auto"/>
        <w:ind w:left="105" w:leftChars="50"/>
        <w:jc w:val="center"/>
        <w:rPr>
          <w:rFonts w:ascii="宋体" w:hAnsi="宋体"/>
          <w:sz w:val="24"/>
          <w:szCs w:val="24"/>
        </w:rPr>
      </w:pPr>
      <w:r>
        <w:rPr>
          <w:rFonts w:hint="eastAsia" w:ascii="宋体" w:hAnsi="宋体"/>
          <w:sz w:val="24"/>
          <w:szCs w:val="24"/>
        </w:rPr>
        <w:drawing>
          <wp:inline distT="0" distB="0" distL="114300" distR="114300">
            <wp:extent cx="3003550" cy="2747645"/>
            <wp:effectExtent l="0" t="0" r="6350" b="1460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3"/>
                    <a:stretch>
                      <a:fillRect/>
                    </a:stretch>
                  </pic:blipFill>
                  <pic:spPr>
                    <a:xfrm>
                      <a:off x="0" y="0"/>
                      <a:ext cx="3003550" cy="2747645"/>
                    </a:xfrm>
                    <a:prstGeom prst="rect">
                      <a:avLst/>
                    </a:prstGeom>
                    <a:noFill/>
                    <a:ln>
                      <a:noFill/>
                    </a:ln>
                  </pic:spPr>
                </pic:pic>
              </a:graphicData>
            </a:graphic>
          </wp:inline>
        </w:drawing>
      </w:r>
    </w:p>
    <w:p>
      <w:pPr>
        <w:pStyle w:val="11"/>
        <w:spacing w:line="360" w:lineRule="auto"/>
        <w:ind w:firstLine="480" w:firstLineChars="200"/>
        <w:rPr>
          <w:rFonts w:ascii="宋体" w:hAnsi="宋体"/>
          <w:sz w:val="24"/>
          <w:szCs w:val="24"/>
        </w:rPr>
      </w:pPr>
      <w:r>
        <w:rPr>
          <w:rFonts w:hint="eastAsia" w:ascii="宋体" w:hAnsi="宋体"/>
          <w:sz w:val="24"/>
          <w:szCs w:val="24"/>
        </w:rPr>
        <w:t>2.平面分户模型：尺寸要求1*1m，比例1:20，制作包含底座，材料石材或烤漆。</w:t>
      </w:r>
    </w:p>
    <w:p>
      <w:pPr>
        <w:spacing w:line="360" w:lineRule="auto"/>
        <w:ind w:firstLine="480" w:firstLineChars="200"/>
        <w:rPr>
          <w:rFonts w:ascii="宋体" w:hAnsi="宋体"/>
          <w:kern w:val="0"/>
          <w:sz w:val="24"/>
          <w:szCs w:val="24"/>
        </w:rPr>
      </w:pPr>
      <w:r>
        <w:rPr>
          <w:rFonts w:hint="eastAsia" w:ascii="宋体" w:hAnsi="宋体"/>
          <w:kern w:val="0"/>
          <w:sz w:val="24"/>
          <w:szCs w:val="24"/>
        </w:rPr>
        <w:t>（三）售后服务：质保期为验收合格之日后1.5年。</w:t>
      </w:r>
      <w:r>
        <w:rPr>
          <w:rFonts w:hint="eastAsia" w:ascii="宋体" w:hAnsi="宋体"/>
          <w:kern w:val="0"/>
          <w:sz w:val="24"/>
          <w:szCs w:val="24"/>
        </w:rPr>
        <w:tab/>
      </w:r>
    </w:p>
    <w:p>
      <w:pPr>
        <w:pStyle w:val="5"/>
        <w:numPr>
          <w:ilvl w:val="0"/>
          <w:numId w:val="1"/>
        </w:numPr>
        <w:spacing w:line="360" w:lineRule="auto"/>
        <w:jc w:val="left"/>
        <w:rPr>
          <w:rFonts w:hAnsi="宋体"/>
          <w:b/>
          <w:bCs/>
          <w:sz w:val="24"/>
          <w:szCs w:val="24"/>
        </w:rPr>
      </w:pPr>
      <w:r>
        <w:rPr>
          <w:rFonts w:hint="eastAsia" w:hAnsi="宋体"/>
          <w:b/>
          <w:bCs/>
          <w:sz w:val="24"/>
          <w:szCs w:val="24"/>
        </w:rPr>
        <w:t>比选控制价格</w:t>
      </w:r>
      <w:bookmarkEnd w:id="2"/>
    </w:p>
    <w:p>
      <w:pPr>
        <w:pStyle w:val="5"/>
        <w:tabs>
          <w:tab w:val="center" w:pos="4153"/>
        </w:tabs>
        <w:spacing w:line="360" w:lineRule="auto"/>
        <w:ind w:firstLine="480" w:firstLineChars="200"/>
        <w:jc w:val="left"/>
        <w:rPr>
          <w:rFonts w:hAnsi="宋体"/>
          <w:sz w:val="24"/>
          <w:szCs w:val="24"/>
        </w:rPr>
      </w:pPr>
      <w:r>
        <w:rPr>
          <w:rFonts w:hint="eastAsia" w:hAnsi="宋体"/>
          <w:sz w:val="24"/>
          <w:szCs w:val="24"/>
        </w:rPr>
        <w:t>总价控制在107万元以内（含税）</w:t>
      </w:r>
    </w:p>
    <w:p>
      <w:pPr>
        <w:pStyle w:val="5"/>
        <w:numPr>
          <w:ilvl w:val="0"/>
          <w:numId w:val="1"/>
        </w:numPr>
        <w:spacing w:line="360" w:lineRule="auto"/>
        <w:jc w:val="left"/>
        <w:rPr>
          <w:rFonts w:hAnsi="宋体"/>
          <w:b/>
          <w:bCs/>
          <w:sz w:val="24"/>
          <w:szCs w:val="24"/>
        </w:rPr>
      </w:pPr>
      <w:bookmarkStart w:id="3" w:name="_Toc57731948"/>
      <w:r>
        <w:rPr>
          <w:rFonts w:hint="eastAsia" w:hAnsi="宋体"/>
          <w:b/>
          <w:bCs/>
          <w:sz w:val="24"/>
          <w:szCs w:val="24"/>
        </w:rPr>
        <w:t>参选人资格要求</w:t>
      </w:r>
      <w:bookmarkEnd w:id="3"/>
    </w:p>
    <w:p>
      <w:pPr>
        <w:pStyle w:val="5"/>
        <w:tabs>
          <w:tab w:val="center" w:pos="4153"/>
        </w:tabs>
        <w:spacing w:line="360" w:lineRule="auto"/>
        <w:ind w:firstLine="480" w:firstLineChars="200"/>
        <w:jc w:val="left"/>
        <w:rPr>
          <w:rFonts w:hAnsi="宋体"/>
          <w:sz w:val="24"/>
          <w:szCs w:val="24"/>
        </w:rPr>
      </w:pPr>
      <w:bookmarkStart w:id="4" w:name="_Toc57731949"/>
      <w:r>
        <w:rPr>
          <w:rFonts w:hint="eastAsia" w:hAnsi="宋体"/>
          <w:sz w:val="24"/>
          <w:szCs w:val="24"/>
        </w:rPr>
        <w:t>（一）公司资质：公司必须是在中华人民共和国境内注册的独立法人机构。公司注册成立时间不得晚于2015年1月1日。</w:t>
      </w:r>
    </w:p>
    <w:p>
      <w:pPr>
        <w:spacing w:line="360" w:lineRule="auto"/>
        <w:ind w:firstLine="480" w:firstLineChars="200"/>
        <w:rPr>
          <w:rFonts w:ascii="宋体" w:hAnsi="宋体"/>
          <w:kern w:val="0"/>
          <w:sz w:val="24"/>
          <w:szCs w:val="24"/>
          <w:highlight w:val="yellow"/>
        </w:rPr>
      </w:pPr>
      <w:r>
        <w:rPr>
          <w:rFonts w:hint="eastAsia" w:ascii="宋体" w:hAnsi="宋体"/>
          <w:kern w:val="0"/>
          <w:sz w:val="24"/>
          <w:szCs w:val="24"/>
        </w:rPr>
        <w:t>（二）公司业绩：</w:t>
      </w:r>
      <w:r>
        <w:rPr>
          <w:rFonts w:hint="eastAsia" w:ascii="宋体" w:hAnsi="宋体"/>
          <w:kern w:val="0"/>
          <w:sz w:val="24"/>
          <w:szCs w:val="24"/>
          <w:highlight w:val="yellow"/>
        </w:rPr>
        <w:t>2018年至今服务过全国50强或深圳20强房地产企业（含分子公司，50强名单参考中指研究院或易居克尔瑞数据）的项目（住宅、商业、写字楼或综合体均可）合同金额超80万元（含80万元）的模型制作业绩至少1个。</w:t>
      </w:r>
    </w:p>
    <w:p>
      <w:pPr>
        <w:spacing w:line="360" w:lineRule="auto"/>
        <w:ind w:firstLine="480" w:firstLineChars="200"/>
        <w:rPr>
          <w:rFonts w:ascii="宋体" w:hAnsi="宋体"/>
          <w:kern w:val="0"/>
          <w:sz w:val="24"/>
          <w:szCs w:val="24"/>
        </w:rPr>
      </w:pPr>
      <w:r>
        <w:rPr>
          <w:rFonts w:hint="eastAsia" w:ascii="宋体" w:hAnsi="宋体"/>
          <w:kern w:val="0"/>
          <w:sz w:val="24"/>
          <w:szCs w:val="24"/>
        </w:rPr>
        <w:t>备注以上业绩均需提供合同复印件（合同需体现关键页：项目名称、工作内容、合同总价）或中标通知书（加盖公章）作为证明材料。未提供或无法清晰显示业绩情况视为无效业绩。</w:t>
      </w:r>
    </w:p>
    <w:p>
      <w:pPr>
        <w:spacing w:line="360" w:lineRule="auto"/>
        <w:ind w:firstLine="480" w:firstLineChars="200"/>
        <w:rPr>
          <w:rFonts w:ascii="宋体" w:hAnsi="宋体"/>
          <w:kern w:val="0"/>
          <w:sz w:val="24"/>
          <w:szCs w:val="24"/>
        </w:rPr>
      </w:pPr>
      <w:r>
        <w:rPr>
          <w:rFonts w:hint="eastAsia" w:ascii="宋体" w:hAnsi="宋体"/>
          <w:kern w:val="0"/>
          <w:sz w:val="24"/>
          <w:szCs w:val="24"/>
        </w:rPr>
        <w:t>（三）不被接受的情形：</w:t>
      </w:r>
    </w:p>
    <w:p>
      <w:pPr>
        <w:spacing w:line="360" w:lineRule="auto"/>
        <w:ind w:firstLine="480" w:firstLineChars="200"/>
        <w:rPr>
          <w:rFonts w:ascii="宋体" w:hAnsi="宋体"/>
          <w:kern w:val="0"/>
          <w:sz w:val="24"/>
          <w:szCs w:val="24"/>
        </w:rPr>
      </w:pPr>
      <w:r>
        <w:rPr>
          <w:rFonts w:hint="eastAsia" w:ascii="宋体" w:hAnsi="宋体"/>
          <w:kern w:val="0"/>
          <w:sz w:val="24"/>
          <w:szCs w:val="24"/>
        </w:rPr>
        <w:t>1.自截标前三年以来在深圳市地铁集团有限公司或其下属直管单位存在违约行为的投标人；</w:t>
      </w:r>
    </w:p>
    <w:p>
      <w:pPr>
        <w:spacing w:line="360" w:lineRule="auto"/>
        <w:ind w:firstLine="480" w:firstLineChars="200"/>
        <w:rPr>
          <w:rFonts w:ascii="宋体" w:hAnsi="宋体"/>
          <w:kern w:val="0"/>
          <w:sz w:val="24"/>
          <w:szCs w:val="24"/>
        </w:rPr>
      </w:pPr>
      <w:r>
        <w:rPr>
          <w:rFonts w:hint="eastAsia" w:ascii="宋体" w:hAnsi="宋体"/>
          <w:kern w:val="0"/>
          <w:sz w:val="24"/>
          <w:szCs w:val="24"/>
        </w:rPr>
        <w:t>2.自截标前三年以来与深圳市地铁集团有限公司或其下属直管单位有过诉讼、仲裁史，且其诉讼请求、仲裁申请或辩论理由没有被法院、仲裁庭支持的；</w:t>
      </w:r>
    </w:p>
    <w:p>
      <w:pPr>
        <w:spacing w:line="360" w:lineRule="auto"/>
        <w:ind w:firstLine="480" w:firstLineChars="200"/>
        <w:rPr>
          <w:rFonts w:ascii="宋体" w:hAnsi="宋体"/>
          <w:kern w:val="0"/>
          <w:sz w:val="24"/>
          <w:szCs w:val="24"/>
        </w:rPr>
      </w:pPr>
      <w:r>
        <w:rPr>
          <w:rFonts w:hint="eastAsia" w:ascii="宋体" w:hAnsi="宋体"/>
          <w:kern w:val="0"/>
          <w:sz w:val="24"/>
          <w:szCs w:val="24"/>
        </w:rPr>
        <w:t>3.正与深圳市地铁集团有限公司及下属单位进行诉讼、仲裁，且在截标之日前未达成和解或纠纷化解的；</w:t>
      </w:r>
    </w:p>
    <w:p>
      <w:pPr>
        <w:spacing w:line="360" w:lineRule="auto"/>
        <w:ind w:firstLine="480" w:firstLineChars="200"/>
        <w:rPr>
          <w:rFonts w:ascii="宋体" w:hAnsi="宋体"/>
          <w:kern w:val="0"/>
          <w:sz w:val="24"/>
          <w:szCs w:val="24"/>
        </w:rPr>
      </w:pPr>
      <w:r>
        <w:rPr>
          <w:rFonts w:hint="eastAsia" w:ascii="宋体" w:hAnsi="宋体"/>
          <w:kern w:val="0"/>
          <w:sz w:val="24"/>
          <w:szCs w:val="24"/>
        </w:rPr>
        <w:t>4.在参选（询价）活动（包括在深圳地铁项目）中因串通投标（报价）被暂停投标（报价）资格期间；或涉嫌串通参选（报价）并正在接受主管部门调查的；</w:t>
      </w:r>
    </w:p>
    <w:p>
      <w:pPr>
        <w:spacing w:line="360" w:lineRule="auto"/>
        <w:ind w:firstLine="480" w:firstLineChars="200"/>
        <w:rPr>
          <w:rFonts w:ascii="宋体" w:hAnsi="宋体"/>
          <w:kern w:val="0"/>
          <w:sz w:val="24"/>
          <w:szCs w:val="24"/>
        </w:rPr>
      </w:pPr>
      <w:r>
        <w:rPr>
          <w:rFonts w:hint="eastAsia" w:ascii="宋体" w:hAnsi="宋体"/>
          <w:kern w:val="0"/>
          <w:sz w:val="24"/>
          <w:szCs w:val="24"/>
        </w:rPr>
        <w:t>5.自截标前三年以来在深圳市地铁集团有限公司及下属单位在参选过程中、合同履约过程中有不良行为记录，或者有对深圳市地铁集团有限公司声誉造成损害行为的。</w:t>
      </w:r>
    </w:p>
    <w:p>
      <w:pPr>
        <w:spacing w:line="360" w:lineRule="auto"/>
        <w:ind w:firstLine="480" w:firstLineChars="200"/>
        <w:rPr>
          <w:rFonts w:ascii="宋体" w:hAnsi="宋体"/>
          <w:kern w:val="0"/>
          <w:sz w:val="24"/>
          <w:szCs w:val="24"/>
        </w:rPr>
      </w:pPr>
      <w:r>
        <w:rPr>
          <w:rFonts w:hint="eastAsia" w:ascii="宋体" w:hAnsi="宋体"/>
          <w:kern w:val="0"/>
          <w:sz w:val="24"/>
          <w:szCs w:val="24"/>
        </w:rPr>
        <w:t>（四）本项目不接受联合体参选：单位负责人为同一人或者存在控股、管理关系的不同单位，不得参加同一项目比选。</w:t>
      </w: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五、参选时间、地点</w:t>
      </w:r>
      <w:bookmarkEnd w:id="4"/>
    </w:p>
    <w:tbl>
      <w:tblPr>
        <w:tblStyle w:val="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560"/>
        <w:gridCol w:w="1742"/>
        <w:gridCol w:w="5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序号</w:t>
            </w:r>
          </w:p>
        </w:tc>
        <w:tc>
          <w:tcPr>
            <w:tcW w:w="1560"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内  容</w:t>
            </w:r>
          </w:p>
        </w:tc>
        <w:tc>
          <w:tcPr>
            <w:tcW w:w="1742"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时间安排</w:t>
            </w:r>
          </w:p>
        </w:tc>
        <w:tc>
          <w:tcPr>
            <w:tcW w:w="5813"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1</w:t>
            </w:r>
          </w:p>
        </w:tc>
        <w:tc>
          <w:tcPr>
            <w:tcW w:w="1560"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发布比选公告</w:t>
            </w:r>
          </w:p>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（发标）</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lang w:val="en-US" w:eastAsia="zh-CN"/>
              </w:rPr>
              <w:t>10</w:t>
            </w:r>
            <w:r>
              <w:rPr>
                <w:rFonts w:hint="eastAsia" w:ascii="宋体" w:hAnsi="宋体"/>
                <w:kern w:val="0"/>
                <w:szCs w:val="21"/>
              </w:rPr>
              <w:t>月</w:t>
            </w:r>
            <w:r>
              <w:rPr>
                <w:rFonts w:hint="eastAsia" w:ascii="宋体" w:hAnsi="宋体"/>
                <w:kern w:val="0"/>
                <w:szCs w:val="21"/>
                <w:lang w:val="en-US" w:eastAsia="zh-CN"/>
              </w:rPr>
              <w:t>15</w:t>
            </w:r>
            <w:r>
              <w:rPr>
                <w:rFonts w:hint="eastAsia" w:ascii="宋体" w:hAnsi="宋体"/>
                <w:kern w:val="0"/>
                <w:szCs w:val="21"/>
              </w:rPr>
              <w:t>日</w:t>
            </w:r>
          </w:p>
        </w:tc>
        <w:tc>
          <w:tcPr>
            <w:tcW w:w="5813"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484" w:leftChars="44" w:hanging="392" w:hangingChars="187"/>
              <w:jc w:val="center"/>
              <w:rPr>
                <w:rFonts w:ascii="宋体" w:hAnsi="宋体"/>
                <w:sz w:val="21"/>
                <w:szCs w:val="21"/>
              </w:rPr>
            </w:pPr>
            <w:r>
              <w:rPr>
                <w:rFonts w:hint="eastAsia" w:ascii="宋体" w:hAnsi="宋体"/>
                <w:sz w:val="21"/>
                <w:szCs w:val="21"/>
              </w:rPr>
              <w:t>深圳市地铁集团有限公司外网、国资委阳光采购平台、深铁置业微信订阅号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9"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2</w:t>
            </w:r>
          </w:p>
        </w:tc>
        <w:tc>
          <w:tcPr>
            <w:tcW w:w="1560"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截标</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lang w:val="en-US" w:eastAsia="zh-CN"/>
              </w:rPr>
              <w:t>10</w:t>
            </w:r>
            <w:r>
              <w:rPr>
                <w:rFonts w:hint="eastAsia" w:ascii="宋体" w:hAnsi="宋体"/>
                <w:kern w:val="0"/>
                <w:szCs w:val="21"/>
              </w:rPr>
              <w:t>月</w:t>
            </w:r>
            <w:r>
              <w:rPr>
                <w:rFonts w:hint="eastAsia" w:ascii="宋体" w:hAnsi="宋体"/>
                <w:kern w:val="0"/>
                <w:szCs w:val="21"/>
                <w:lang w:val="en-US" w:eastAsia="zh-CN"/>
              </w:rPr>
              <w:t>28</w:t>
            </w:r>
            <w:r>
              <w:rPr>
                <w:rFonts w:hint="eastAsia" w:ascii="宋体" w:hAnsi="宋体"/>
                <w:kern w:val="0"/>
                <w:szCs w:val="21"/>
              </w:rPr>
              <w:t>上午9:3</w:t>
            </w:r>
            <w:r>
              <w:rPr>
                <w:rFonts w:ascii="宋体" w:hAnsi="宋体"/>
                <w:kern w:val="0"/>
                <w:szCs w:val="21"/>
              </w:rPr>
              <w:t>0</w:t>
            </w:r>
          </w:p>
          <w:p>
            <w:pPr>
              <w:adjustRightInd w:val="0"/>
              <w:snapToGrid w:val="0"/>
              <w:jc w:val="center"/>
              <w:rPr>
                <w:rFonts w:ascii="宋体" w:hAnsi="宋体"/>
                <w:kern w:val="0"/>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813"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484" w:leftChars="44" w:hanging="392" w:hangingChars="187"/>
              <w:jc w:val="left"/>
              <w:rPr>
                <w:rFonts w:ascii="宋体" w:hAnsi="宋体"/>
                <w:sz w:val="21"/>
                <w:szCs w:val="21"/>
              </w:rPr>
            </w:pPr>
            <w:r>
              <w:rPr>
                <w:rFonts w:hint="eastAsia" w:ascii="宋体" w:hAnsi="宋体"/>
                <w:sz w:val="21"/>
                <w:szCs w:val="21"/>
              </w:rPr>
              <w:t>1.纸质版参选文件递交地点：地铁大厦1楼评定标中心</w:t>
            </w:r>
          </w:p>
          <w:p>
            <w:pPr>
              <w:pStyle w:val="4"/>
              <w:adjustRightInd w:val="0"/>
              <w:snapToGrid w:val="0"/>
              <w:spacing w:line="240" w:lineRule="auto"/>
              <w:ind w:left="484" w:leftChars="44" w:hanging="392" w:hangingChars="187"/>
              <w:jc w:val="left"/>
              <w:rPr>
                <w:rFonts w:ascii="宋体" w:hAnsi="宋体"/>
                <w:sz w:val="21"/>
                <w:szCs w:val="21"/>
              </w:rPr>
            </w:pPr>
            <w:r>
              <w:rPr>
                <w:rFonts w:hint="eastAsia" w:ascii="宋体" w:hAnsi="宋体"/>
                <w:sz w:val="21"/>
                <w:szCs w:val="21"/>
              </w:rPr>
              <w:t>2.电子版参选文件递交平台：深圳地铁智能招采系统</w:t>
            </w:r>
          </w:p>
          <w:p>
            <w:pPr>
              <w:pStyle w:val="4"/>
              <w:adjustRightInd w:val="0"/>
              <w:snapToGrid w:val="0"/>
              <w:spacing w:line="240" w:lineRule="auto"/>
              <w:ind w:left="484" w:leftChars="44" w:hanging="392" w:hangingChars="187"/>
              <w:jc w:val="left"/>
              <w:rPr>
                <w:rFonts w:ascii="宋体" w:hAnsi="宋体"/>
                <w:sz w:val="21"/>
                <w:szCs w:val="21"/>
              </w:rPr>
            </w:pPr>
            <w:r>
              <w:rPr>
                <w:rFonts w:hint="eastAsia" w:ascii="宋体" w:hAnsi="宋体"/>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3</w:t>
            </w:r>
          </w:p>
        </w:tc>
        <w:tc>
          <w:tcPr>
            <w:tcW w:w="1560"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开标</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rPr>
              <w:t xml:space="preserve"> </w:t>
            </w:r>
            <w:r>
              <w:rPr>
                <w:rFonts w:hint="eastAsia" w:ascii="宋体" w:hAnsi="宋体"/>
                <w:kern w:val="0"/>
                <w:szCs w:val="21"/>
                <w:lang w:val="en-US" w:eastAsia="zh-CN"/>
              </w:rPr>
              <w:t>10</w:t>
            </w:r>
            <w:r>
              <w:rPr>
                <w:rFonts w:hint="eastAsia" w:ascii="宋体" w:hAnsi="宋体"/>
                <w:kern w:val="0"/>
                <w:szCs w:val="21"/>
              </w:rPr>
              <w:t>月</w:t>
            </w:r>
            <w:r>
              <w:rPr>
                <w:rFonts w:hint="eastAsia" w:ascii="宋体" w:hAnsi="宋体"/>
                <w:kern w:val="0"/>
                <w:szCs w:val="21"/>
                <w:lang w:val="en-US" w:eastAsia="zh-CN"/>
              </w:rPr>
              <w:t>28</w:t>
            </w:r>
            <w:r>
              <w:rPr>
                <w:rFonts w:hint="eastAsia" w:ascii="宋体" w:hAnsi="宋体"/>
                <w:kern w:val="0"/>
                <w:szCs w:val="21"/>
              </w:rPr>
              <w:t xml:space="preserve">日 </w:t>
            </w:r>
          </w:p>
          <w:p>
            <w:pPr>
              <w:adjustRightInd w:val="0"/>
              <w:snapToGrid w:val="0"/>
              <w:jc w:val="center"/>
              <w:rPr>
                <w:rFonts w:ascii="宋体" w:hAnsi="宋体"/>
                <w:kern w:val="0"/>
                <w:szCs w:val="21"/>
              </w:rPr>
            </w:pPr>
            <w:r>
              <w:rPr>
                <w:rFonts w:hint="eastAsia" w:ascii="宋体" w:hAnsi="宋体"/>
                <w:kern w:val="0"/>
                <w:szCs w:val="21"/>
              </w:rPr>
              <w:t>上午09:</w:t>
            </w:r>
            <w:r>
              <w:rPr>
                <w:rFonts w:ascii="宋体" w:hAnsi="宋体"/>
                <w:kern w:val="0"/>
                <w:szCs w:val="21"/>
              </w:rPr>
              <w:t>30</w:t>
            </w:r>
          </w:p>
        </w:tc>
        <w:tc>
          <w:tcPr>
            <w:tcW w:w="5813"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143" w:leftChars="68" w:firstLine="33" w:firstLineChars="16"/>
              <w:jc w:val="left"/>
              <w:rPr>
                <w:rFonts w:hint="eastAsia" w:ascii="宋体" w:hAnsi="宋体"/>
                <w:sz w:val="21"/>
                <w:szCs w:val="21"/>
              </w:rPr>
            </w:pPr>
            <w:r>
              <w:rPr>
                <w:rFonts w:hint="eastAsia" w:ascii="宋体" w:hAnsi="宋体"/>
                <w:sz w:val="21"/>
                <w:szCs w:val="21"/>
              </w:rPr>
              <w:t>开标地点：地铁大厦1楼评定标中心</w:t>
            </w:r>
          </w:p>
          <w:p>
            <w:pPr>
              <w:pStyle w:val="4"/>
              <w:adjustRightInd w:val="0"/>
              <w:snapToGrid w:val="0"/>
              <w:spacing w:line="240" w:lineRule="auto"/>
              <w:ind w:left="143" w:leftChars="68" w:firstLine="33" w:firstLineChars="16"/>
              <w:jc w:val="left"/>
              <w:rPr>
                <w:rFonts w:hint="eastAsia" w:ascii="宋体" w:hAnsi="宋体"/>
                <w:sz w:val="21"/>
                <w:szCs w:val="21"/>
              </w:rPr>
            </w:pPr>
            <w:r>
              <w:rPr>
                <w:rFonts w:hint="eastAsia" w:ascii="宋体" w:hAnsi="宋体" w:cs="宋体"/>
                <w:bCs/>
                <w:kern w:val="2"/>
                <w:sz w:val="21"/>
                <w:szCs w:val="21"/>
                <w:lang w:val="en-US" w:eastAsia="zh-CN"/>
              </w:rPr>
              <w:t>（请持48小时内核酸检测结果方可入内）</w:t>
            </w:r>
          </w:p>
        </w:tc>
      </w:tr>
    </w:tbl>
    <w:p>
      <w:pPr>
        <w:spacing w:line="360" w:lineRule="auto"/>
        <w:ind w:firstLine="482" w:firstLineChars="200"/>
        <w:rPr>
          <w:rFonts w:ascii="宋体" w:hAnsi="宋体"/>
          <w:b/>
          <w:bCs/>
          <w:kern w:val="0"/>
          <w:sz w:val="24"/>
          <w:szCs w:val="24"/>
        </w:rPr>
      </w:pPr>
      <w:bookmarkStart w:id="5" w:name="_Toc57731950"/>
      <w:r>
        <w:rPr>
          <w:rFonts w:hint="eastAsia" w:ascii="宋体" w:hAnsi="宋体"/>
          <w:b/>
          <w:bCs/>
          <w:kern w:val="0"/>
          <w:sz w:val="24"/>
          <w:szCs w:val="24"/>
        </w:rPr>
        <w:t>六、参选所需材料</w:t>
      </w:r>
      <w:bookmarkEnd w:id="5"/>
    </w:p>
    <w:p>
      <w:pPr>
        <w:tabs>
          <w:tab w:val="center" w:pos="5059"/>
        </w:tabs>
        <w:spacing w:line="360" w:lineRule="auto"/>
        <w:ind w:firstLine="480" w:firstLineChars="200"/>
        <w:rPr>
          <w:rFonts w:ascii="宋体" w:hAnsi="宋体"/>
          <w:kern w:val="0"/>
          <w:sz w:val="24"/>
          <w:szCs w:val="24"/>
        </w:rPr>
      </w:pPr>
      <w:r>
        <w:rPr>
          <w:rFonts w:hint="eastAsia" w:ascii="宋体" w:hAnsi="宋体"/>
          <w:kern w:val="0"/>
          <w:sz w:val="24"/>
          <w:szCs w:val="24"/>
        </w:rPr>
        <w:t>根据比选文件编制的参选文件；</w:t>
      </w:r>
      <w:r>
        <w:rPr>
          <w:rFonts w:hint="eastAsia" w:ascii="宋体" w:hAnsi="宋体"/>
          <w:kern w:val="0"/>
          <w:sz w:val="24"/>
          <w:szCs w:val="24"/>
        </w:rPr>
        <w:tab/>
      </w:r>
      <w:r>
        <w:rPr>
          <w:rFonts w:hint="eastAsia" w:ascii="宋体" w:hAnsi="宋体"/>
          <w:kern w:val="0"/>
          <w:sz w:val="24"/>
          <w:szCs w:val="24"/>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七、参选联系人</w:t>
      </w:r>
    </w:p>
    <w:p>
      <w:pPr>
        <w:pStyle w:val="5"/>
        <w:spacing w:line="360" w:lineRule="auto"/>
        <w:ind w:firstLine="480" w:firstLineChars="200"/>
        <w:rPr>
          <w:rFonts w:hAnsi="宋体"/>
          <w:sz w:val="24"/>
          <w:szCs w:val="24"/>
        </w:rPr>
      </w:pPr>
      <w:r>
        <w:rPr>
          <w:rFonts w:hint="eastAsia" w:hAnsi="宋体"/>
          <w:sz w:val="24"/>
          <w:szCs w:val="24"/>
        </w:rPr>
        <w:t>联系人：李工、</w:t>
      </w:r>
      <w:r>
        <w:rPr>
          <w:rFonts w:hAnsi="宋体"/>
          <w:sz w:val="24"/>
          <w:szCs w:val="24"/>
        </w:rPr>
        <w:t>彭工</w:t>
      </w:r>
      <w:r>
        <w:rPr>
          <w:rFonts w:hint="eastAsia" w:hAnsi="宋体"/>
          <w:sz w:val="24"/>
          <w:szCs w:val="24"/>
        </w:rPr>
        <w:t xml:space="preserve">    </w:t>
      </w:r>
    </w:p>
    <w:p>
      <w:pPr>
        <w:pStyle w:val="5"/>
        <w:spacing w:line="360" w:lineRule="auto"/>
        <w:ind w:firstLine="480" w:firstLineChars="200"/>
        <w:rPr>
          <w:rFonts w:hAnsi="宋体"/>
          <w:sz w:val="24"/>
          <w:szCs w:val="24"/>
        </w:rPr>
      </w:pPr>
      <w:r>
        <w:rPr>
          <w:rFonts w:hint="eastAsia" w:hAnsi="宋体"/>
          <w:sz w:val="24"/>
          <w:szCs w:val="24"/>
        </w:rPr>
        <w:t>联系电话：89986634、89986466</w:t>
      </w:r>
    </w:p>
    <w:p>
      <w:pPr>
        <w:pStyle w:val="5"/>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5"/>
        <w:wordWrap w:val="0"/>
        <w:spacing w:line="360" w:lineRule="auto"/>
        <w:ind w:firstLine="480" w:firstLineChars="200"/>
        <w:jc w:val="right"/>
        <w:rPr>
          <w:rFonts w:hAnsi="宋体"/>
          <w:sz w:val="24"/>
          <w:szCs w:val="24"/>
        </w:rPr>
      </w:pPr>
      <w:r>
        <w:rPr>
          <w:rFonts w:hint="eastAsia" w:hAnsi="宋体"/>
          <w:sz w:val="24"/>
          <w:szCs w:val="24"/>
        </w:rPr>
        <w:t>            2021年</w:t>
      </w:r>
      <w:r>
        <w:rPr>
          <w:rFonts w:hint="eastAsia" w:hAnsi="宋体"/>
          <w:sz w:val="24"/>
          <w:szCs w:val="24"/>
          <w:lang w:val="en-US" w:eastAsia="zh-CN"/>
        </w:rPr>
        <w:t>10</w:t>
      </w:r>
      <w:r>
        <w:rPr>
          <w:rFonts w:hint="eastAsia" w:hAnsi="宋体"/>
          <w:sz w:val="24"/>
          <w:szCs w:val="24"/>
        </w:rPr>
        <w:t>月</w:t>
      </w:r>
      <w:r>
        <w:rPr>
          <w:rFonts w:hint="eastAsia" w:hAnsi="宋体"/>
          <w:sz w:val="24"/>
          <w:szCs w:val="24"/>
          <w:lang w:val="en-US" w:eastAsia="zh-CN"/>
        </w:rPr>
        <w:t>15</w:t>
      </w:r>
      <w:r>
        <w:rPr>
          <w:rFonts w:hint="eastAsia" w:hAnsi="宋体"/>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9887B"/>
    <w:multiLevelType w:val="singleLevel"/>
    <w:tmpl w:val="F5E9887B"/>
    <w:lvl w:ilvl="0" w:tentative="0">
      <w:start w:val="5"/>
      <w:numFmt w:val="decimal"/>
      <w:lvlText w:val="%1."/>
      <w:lvlJc w:val="left"/>
      <w:pPr>
        <w:tabs>
          <w:tab w:val="left" w:pos="312"/>
        </w:tabs>
      </w:pPr>
    </w:lvl>
  </w:abstractNum>
  <w:abstractNum w:abstractNumId="1">
    <w:nsid w:val="05862E78"/>
    <w:multiLevelType w:val="singleLevel"/>
    <w:tmpl w:val="05862E78"/>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DB10F5"/>
    <w:rsid w:val="00095618"/>
    <w:rsid w:val="00115157"/>
    <w:rsid w:val="0030249C"/>
    <w:rsid w:val="00626B11"/>
    <w:rsid w:val="007E77ED"/>
    <w:rsid w:val="00BE4B58"/>
    <w:rsid w:val="00D45A69"/>
    <w:rsid w:val="00E93202"/>
    <w:rsid w:val="0ED86199"/>
    <w:rsid w:val="14211C3A"/>
    <w:rsid w:val="2EB02284"/>
    <w:rsid w:val="2EE974BE"/>
    <w:rsid w:val="38F572E3"/>
    <w:rsid w:val="47920CC4"/>
    <w:rsid w:val="4AE00B7E"/>
    <w:rsid w:val="53DB10F5"/>
    <w:rsid w:val="61455C59"/>
    <w:rsid w:val="67405201"/>
    <w:rsid w:val="7E7E5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Indent"/>
    <w:basedOn w:val="1"/>
    <w:qFormat/>
    <w:uiPriority w:val="0"/>
    <w:pPr>
      <w:spacing w:line="360" w:lineRule="auto"/>
      <w:ind w:left="540" w:leftChars="257" w:firstLine="360" w:firstLineChars="150"/>
    </w:pPr>
    <w:rPr>
      <w:kern w:val="0"/>
      <w:sz w:val="20"/>
    </w:rPr>
  </w:style>
  <w:style w:type="paragraph" w:styleId="5">
    <w:name w:val="Plain Text"/>
    <w:basedOn w:val="1"/>
    <w:qFormat/>
    <w:uiPriority w:val="0"/>
    <w:pPr>
      <w:adjustRightInd w:val="0"/>
      <w:spacing w:line="312" w:lineRule="atLeast"/>
      <w:textAlignment w:val="baseline"/>
    </w:pPr>
    <w:rPr>
      <w:rFonts w:ascii="宋体" w:hAnsi="Courier New"/>
      <w:kern w:val="0"/>
      <w:sz w:val="20"/>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列出段落1"/>
    <w:basedOn w:val="1"/>
    <w:qFormat/>
    <w:uiPriority w:val="0"/>
    <w:pPr>
      <w:ind w:firstLine="420" w:firstLineChars="200"/>
    </w:pPr>
    <w:rPr>
      <w:rFonts w:ascii="Calibri" w:hAnsi="Calibri"/>
      <w:szCs w:val="22"/>
    </w:rPr>
  </w:style>
  <w:style w:type="paragraph" w:customStyle="1" w:styleId="11">
    <w:name w:val="无间隔1"/>
    <w:qFormat/>
    <w:uiPriority w:val="1"/>
    <w:rPr>
      <w:rFonts w:ascii="Calibri" w:hAnsi="Calibri" w:eastAsia="宋体" w:cs="Times New Roman"/>
      <w:sz w:val="22"/>
      <w:szCs w:val="22"/>
      <w:lang w:val="en-US" w:eastAsia="zh-CN" w:bidi="ar-SA"/>
    </w:rPr>
  </w:style>
  <w:style w:type="character" w:customStyle="1" w:styleId="12">
    <w:name w:val="页眉 Char"/>
    <w:basedOn w:val="9"/>
    <w:link w:val="7"/>
    <w:qFormat/>
    <w:uiPriority w:val="0"/>
    <w:rPr>
      <w:rFonts w:ascii="Times New Roman" w:hAnsi="Times New Roman" w:eastAsia="宋体" w:cs="Times New Roman"/>
      <w:kern w:val="2"/>
      <w:sz w:val="18"/>
      <w:szCs w:val="18"/>
    </w:rPr>
  </w:style>
  <w:style w:type="character" w:customStyle="1" w:styleId="13">
    <w:name w:val="页脚 Char"/>
    <w:basedOn w:val="9"/>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508</Words>
  <Characters>2898</Characters>
  <Lines>24</Lines>
  <Paragraphs>6</Paragraphs>
  <TotalTime>2</TotalTime>
  <ScaleCrop>false</ScaleCrop>
  <LinksUpToDate>false</LinksUpToDate>
  <CharactersWithSpaces>3400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2021-08-18T06:46:00Z</dcterms:created>
  <dc:creator>NTKO</dc:creator>
  <cp:lastModifiedBy>彭佳媚</cp:lastModifiedBy>
  <dcterms:modified xsi:type="dcterms:W3CDTF">2021-10-14T01:30:14Z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