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ind w:left="0" w:firstLine="0"/>
        <w:jc w:val="center"/>
        <w:rPr>
          <w:rFonts w:ascii="宋体" w:hAnsi="宋体"/>
          <w:b w:val="0"/>
          <w:color w:val="0D0D0D"/>
          <w:kern w:val="44"/>
          <w:sz w:val="44"/>
          <w:szCs w:val="44"/>
        </w:rPr>
      </w:pPr>
      <w:bookmarkStart w:id="0" w:name="_Toc53991829"/>
      <w:r>
        <w:rPr>
          <w:rFonts w:hint="eastAsia" w:ascii="宋体" w:hAnsi="宋体"/>
          <w:b w:val="0"/>
          <w:color w:val="0D0D0D"/>
          <w:kern w:val="44"/>
          <w:sz w:val="44"/>
          <w:szCs w:val="44"/>
        </w:rPr>
        <w:t>比选公告</w:t>
      </w:r>
      <w:bookmarkEnd w:id="0"/>
    </w:p>
    <w:p>
      <w:pPr>
        <w:spacing w:line="360" w:lineRule="auto"/>
        <w:ind w:firstLine="482" w:firstLineChars="200"/>
        <w:jc w:val="left"/>
        <w:rPr>
          <w:rFonts w:hAnsi="宋体"/>
          <w:color w:val="0D0D0D"/>
          <w:sz w:val="24"/>
          <w:szCs w:val="24"/>
        </w:rPr>
      </w:pPr>
      <w:r>
        <w:rPr>
          <w:rFonts w:hint="eastAsia" w:hAnsi="宋体"/>
          <w:b/>
          <w:color w:val="0D0D0D"/>
          <w:sz w:val="24"/>
          <w:szCs w:val="24"/>
        </w:rPr>
        <w:t>深圳市地铁集团有限公司</w:t>
      </w:r>
      <w:r>
        <w:rPr>
          <w:rFonts w:hint="eastAsia" w:hAnsi="宋体"/>
          <w:color w:val="0D0D0D"/>
          <w:sz w:val="24"/>
          <w:szCs w:val="24"/>
        </w:rPr>
        <w:t>拟对</w:t>
      </w:r>
      <w:r>
        <w:rPr>
          <w:rFonts w:hint="eastAsia" w:hAnsi="宋体"/>
          <w:b/>
          <w:color w:val="0D0D0D"/>
          <w:sz w:val="24"/>
          <w:szCs w:val="24"/>
        </w:rPr>
        <w:t>西丽枢纽项目前期策划服务</w:t>
      </w:r>
      <w:r>
        <w:rPr>
          <w:rFonts w:hint="eastAsia" w:ascii="仿宋_GB2312" w:hAnsi="宋体" w:eastAsia="仿宋_GB2312"/>
          <w:sz w:val="32"/>
          <w:szCs w:val="32"/>
        </w:rPr>
        <w:t>（</w:t>
      </w:r>
      <w:r>
        <w:rPr>
          <w:rFonts w:hint="eastAsia" w:hAnsi="宋体"/>
          <w:b/>
          <w:color w:val="0D0D0D"/>
          <w:sz w:val="24"/>
          <w:szCs w:val="24"/>
        </w:rPr>
        <w:t>以下</w:t>
      </w:r>
      <w:r>
        <w:rPr>
          <w:rFonts w:hAnsi="宋体"/>
          <w:b/>
          <w:color w:val="0D0D0D"/>
          <w:sz w:val="24"/>
          <w:szCs w:val="24"/>
        </w:rPr>
        <w:t>简称“本项目”）</w:t>
      </w:r>
      <w:r>
        <w:rPr>
          <w:rFonts w:hint="eastAsia" w:hAnsi="宋体"/>
          <w:color w:val="0D0D0D"/>
          <w:sz w:val="24"/>
          <w:szCs w:val="24"/>
        </w:rPr>
        <w:t>公开比选，欢迎符合本比选公告公布资质要求的公司参选。</w:t>
      </w:r>
    </w:p>
    <w:p>
      <w:pPr>
        <w:pStyle w:val="5"/>
        <w:spacing w:line="360" w:lineRule="auto"/>
        <w:ind w:firstLine="482" w:firstLineChars="200"/>
        <w:rPr>
          <w:rFonts w:hAnsi="宋体"/>
          <w:b/>
          <w:color w:val="0D0D0D"/>
          <w:sz w:val="24"/>
          <w:szCs w:val="24"/>
        </w:rPr>
      </w:pPr>
      <w:r>
        <w:rPr>
          <w:rFonts w:hint="eastAsia" w:hAnsi="宋体"/>
          <w:b/>
          <w:color w:val="0D0D0D"/>
          <w:sz w:val="24"/>
          <w:szCs w:val="24"/>
        </w:rPr>
        <w:t>一、项目名称</w:t>
      </w:r>
    </w:p>
    <w:p>
      <w:pPr>
        <w:pStyle w:val="5"/>
        <w:spacing w:line="360" w:lineRule="auto"/>
        <w:ind w:firstLine="482" w:firstLineChars="200"/>
        <w:rPr>
          <w:rFonts w:hAnsi="宋体"/>
          <w:bCs/>
          <w:color w:val="0D0D0D"/>
          <w:sz w:val="24"/>
          <w:szCs w:val="22"/>
        </w:rPr>
      </w:pPr>
      <w:r>
        <w:rPr>
          <w:rFonts w:hint="eastAsia" w:hAnsi="宋体"/>
          <w:b/>
          <w:color w:val="0D0D0D"/>
          <w:sz w:val="24"/>
        </w:rPr>
        <w:t>西丽枢纽项目前期策划服务</w:t>
      </w:r>
    </w:p>
    <w:p>
      <w:pPr>
        <w:pStyle w:val="5"/>
        <w:spacing w:line="360" w:lineRule="auto"/>
        <w:ind w:firstLine="482" w:firstLineChars="200"/>
        <w:rPr>
          <w:rFonts w:hAnsi="宋体"/>
          <w:b/>
          <w:color w:val="0D0D0D"/>
          <w:sz w:val="24"/>
          <w:szCs w:val="24"/>
        </w:rPr>
      </w:pPr>
      <w:r>
        <w:rPr>
          <w:rFonts w:hint="eastAsia" w:hAnsi="宋体"/>
          <w:b/>
          <w:color w:val="0D0D0D"/>
          <w:sz w:val="24"/>
          <w:szCs w:val="24"/>
        </w:rPr>
        <w:t>二、比选内容</w:t>
      </w:r>
    </w:p>
    <w:p>
      <w:pPr>
        <w:pStyle w:val="10"/>
        <w:spacing w:line="520" w:lineRule="exact"/>
        <w:ind w:firstLine="480"/>
        <w:rPr>
          <w:rFonts w:hAnsi="宋体"/>
          <w:color w:val="0D0D0D"/>
          <w:sz w:val="24"/>
          <w:szCs w:val="24"/>
        </w:rPr>
      </w:pPr>
      <w:r>
        <w:rPr>
          <w:rFonts w:hint="eastAsia" w:hAnsi="宋体"/>
          <w:color w:val="0D0D0D"/>
          <w:sz w:val="24"/>
          <w:szCs w:val="24"/>
        </w:rPr>
        <w:t>项目前期策划服务公司将结合前期项目需求开展地块研究及定位工作，根据目前</w:t>
      </w:r>
      <w:r>
        <w:rPr>
          <w:rFonts w:hAnsi="宋体"/>
          <w:color w:val="0D0D0D"/>
          <w:sz w:val="24"/>
          <w:szCs w:val="24"/>
        </w:rPr>
        <w:t>项目用地的</w:t>
      </w:r>
      <w:r>
        <w:rPr>
          <w:rFonts w:hint="eastAsia" w:hAnsi="宋体"/>
          <w:color w:val="0D0D0D"/>
          <w:sz w:val="24"/>
          <w:szCs w:val="24"/>
        </w:rPr>
        <w:t>实际情况及</w:t>
      </w:r>
      <w:r>
        <w:rPr>
          <w:rFonts w:hAnsi="宋体"/>
          <w:color w:val="0D0D0D"/>
          <w:sz w:val="24"/>
          <w:szCs w:val="24"/>
        </w:rPr>
        <w:t>不确定性</w:t>
      </w:r>
      <w:r>
        <w:rPr>
          <w:rFonts w:hint="eastAsia" w:hAnsi="宋体"/>
          <w:color w:val="0D0D0D"/>
          <w:sz w:val="24"/>
          <w:szCs w:val="24"/>
        </w:rPr>
        <w:t>，项目服务分为两阶段，并</w:t>
      </w:r>
      <w:r>
        <w:rPr>
          <w:rFonts w:hAnsi="宋体"/>
          <w:color w:val="0D0D0D"/>
          <w:sz w:val="24"/>
          <w:szCs w:val="24"/>
        </w:rPr>
        <w:t>配合跟进服务，</w:t>
      </w:r>
      <w:r>
        <w:rPr>
          <w:rFonts w:hint="eastAsia" w:hAnsi="宋体"/>
          <w:color w:val="0D0D0D"/>
          <w:sz w:val="24"/>
          <w:szCs w:val="24"/>
        </w:rPr>
        <w:t>具体内容如下：</w:t>
      </w:r>
    </w:p>
    <w:p>
      <w:pPr>
        <w:pStyle w:val="10"/>
        <w:spacing w:line="520" w:lineRule="exact"/>
        <w:ind w:firstLine="480"/>
        <w:rPr>
          <w:rFonts w:hAnsi="宋体"/>
          <w:color w:val="0D0D0D"/>
          <w:sz w:val="24"/>
          <w:szCs w:val="24"/>
        </w:rPr>
      </w:pPr>
      <w:bookmarkStart w:id="1" w:name="_Hlk72832262"/>
      <w:r>
        <w:rPr>
          <w:rFonts w:hint="eastAsia" w:hAnsi="宋体"/>
          <w:color w:val="0D0D0D"/>
          <w:sz w:val="24"/>
          <w:szCs w:val="24"/>
        </w:rPr>
        <w:t>阶段</w:t>
      </w:r>
      <w:r>
        <w:rPr>
          <w:rFonts w:hAnsi="宋体"/>
          <w:color w:val="0D0D0D"/>
          <w:sz w:val="24"/>
          <w:szCs w:val="24"/>
        </w:rPr>
        <w:t>一</w:t>
      </w:r>
      <w:r>
        <w:rPr>
          <w:rFonts w:hint="eastAsia" w:hAnsi="宋体"/>
          <w:color w:val="0D0D0D"/>
          <w:sz w:val="24"/>
          <w:szCs w:val="24"/>
        </w:rPr>
        <w:t>（策略</w:t>
      </w:r>
      <w:r>
        <w:rPr>
          <w:rFonts w:hAnsi="宋体"/>
          <w:color w:val="0D0D0D"/>
          <w:sz w:val="24"/>
          <w:szCs w:val="24"/>
        </w:rPr>
        <w:t>研究阶段</w:t>
      </w:r>
      <w:r>
        <w:rPr>
          <w:rFonts w:hint="eastAsia" w:hAnsi="宋体"/>
          <w:color w:val="0D0D0D"/>
          <w:sz w:val="24"/>
          <w:szCs w:val="24"/>
        </w:rPr>
        <w:t>）</w:t>
      </w:r>
      <w:r>
        <w:rPr>
          <w:rFonts w:hAnsi="宋体"/>
          <w:color w:val="0D0D0D"/>
          <w:sz w:val="24"/>
          <w:szCs w:val="24"/>
        </w:rPr>
        <w:t>：</w:t>
      </w:r>
      <w:r>
        <w:rPr>
          <w:rFonts w:hint="eastAsia" w:hAnsi="宋体"/>
          <w:color w:val="0D0D0D"/>
          <w:sz w:val="24"/>
          <w:szCs w:val="24"/>
        </w:rPr>
        <w:t>项目整体发展策略研究报告，研究范围包括但不限以下内容：</w:t>
      </w:r>
    </w:p>
    <w:p>
      <w:pPr>
        <w:pStyle w:val="10"/>
        <w:spacing w:line="520" w:lineRule="exact"/>
        <w:ind w:firstLine="480"/>
        <w:rPr>
          <w:rFonts w:hAnsi="宋体"/>
          <w:color w:val="0D0D0D"/>
          <w:sz w:val="24"/>
          <w:szCs w:val="24"/>
        </w:rPr>
      </w:pPr>
      <w:r>
        <w:rPr>
          <w:rFonts w:hint="eastAsia" w:hAnsi="宋体"/>
          <w:color w:val="0D0D0D"/>
          <w:sz w:val="24"/>
          <w:szCs w:val="24"/>
        </w:rPr>
        <w:t>1.宏观背景研究：包括深圳市及项目所在地整体经济背景研究；深圳市及项目所在地规划及其他相关政策研究；项目周边竞争关系研究。</w:t>
      </w:r>
    </w:p>
    <w:p>
      <w:pPr>
        <w:pStyle w:val="10"/>
        <w:spacing w:line="520" w:lineRule="exact"/>
        <w:ind w:firstLine="480"/>
        <w:rPr>
          <w:rFonts w:hAnsi="宋体"/>
          <w:color w:val="0D0D0D"/>
          <w:sz w:val="24"/>
          <w:szCs w:val="24"/>
        </w:rPr>
      </w:pPr>
      <w:r>
        <w:rPr>
          <w:rFonts w:hint="eastAsia" w:hAnsi="宋体"/>
          <w:color w:val="0D0D0D"/>
          <w:sz w:val="24"/>
          <w:szCs w:val="24"/>
        </w:rPr>
        <w:t>2.项目本体条件分析：包括项目地块解析、区位条件分析、资源条件分析、规划内容分析、交通及基础设施条件分析。</w:t>
      </w:r>
    </w:p>
    <w:p>
      <w:pPr>
        <w:pStyle w:val="10"/>
        <w:spacing w:line="520" w:lineRule="exact"/>
        <w:ind w:firstLine="480"/>
        <w:rPr>
          <w:rFonts w:hAnsi="宋体"/>
          <w:color w:val="0D0D0D"/>
          <w:sz w:val="24"/>
          <w:szCs w:val="24"/>
        </w:rPr>
      </w:pPr>
      <w:r>
        <w:rPr>
          <w:rFonts w:hint="eastAsia" w:hAnsi="宋体"/>
          <w:color w:val="0D0D0D"/>
          <w:sz w:val="24"/>
          <w:szCs w:val="24"/>
        </w:rPr>
        <w:t>3.项目总体定位：包括相关国内外案例研究、项目发展总体定位、各业态指标研判、功能业态及产品定位、</w:t>
      </w:r>
      <w:r>
        <w:rPr>
          <w:rFonts w:hAnsi="宋体"/>
          <w:color w:val="0D0D0D"/>
          <w:sz w:val="24"/>
          <w:szCs w:val="24"/>
        </w:rPr>
        <w:t>户型配比</w:t>
      </w:r>
      <w:r>
        <w:rPr>
          <w:rFonts w:hint="eastAsia" w:hAnsi="宋体"/>
          <w:color w:val="0D0D0D"/>
          <w:sz w:val="24"/>
          <w:szCs w:val="24"/>
        </w:rPr>
        <w:t>。</w:t>
      </w:r>
    </w:p>
    <w:p>
      <w:pPr>
        <w:pStyle w:val="10"/>
        <w:spacing w:line="520" w:lineRule="exact"/>
        <w:ind w:firstLine="480"/>
        <w:rPr>
          <w:rFonts w:hAnsi="宋体"/>
          <w:color w:val="0D0D0D"/>
          <w:sz w:val="24"/>
          <w:szCs w:val="24"/>
        </w:rPr>
      </w:pPr>
      <w:r>
        <w:rPr>
          <w:rFonts w:hint="eastAsia" w:hAnsi="宋体"/>
          <w:color w:val="0D0D0D"/>
          <w:sz w:val="24"/>
          <w:szCs w:val="24"/>
        </w:rPr>
        <w:t>4.项目整体发展策略建议：包括开发时序、运营策略等。</w:t>
      </w:r>
    </w:p>
    <w:p>
      <w:pPr>
        <w:pStyle w:val="10"/>
        <w:spacing w:line="520" w:lineRule="exact"/>
        <w:ind w:firstLine="480"/>
        <w:rPr>
          <w:rFonts w:hAnsi="宋体"/>
          <w:color w:val="0D0D0D"/>
          <w:sz w:val="24"/>
          <w:szCs w:val="24"/>
        </w:rPr>
      </w:pPr>
      <w:r>
        <w:rPr>
          <w:rFonts w:hint="eastAsia" w:hAnsi="宋体"/>
          <w:color w:val="0D0D0D"/>
          <w:sz w:val="24"/>
          <w:szCs w:val="24"/>
        </w:rPr>
        <w:t>5.项目各</w:t>
      </w:r>
      <w:r>
        <w:rPr>
          <w:rFonts w:hAnsi="宋体"/>
          <w:color w:val="0D0D0D"/>
          <w:sz w:val="24"/>
          <w:szCs w:val="24"/>
        </w:rPr>
        <w:t>物业价格</w:t>
      </w:r>
      <w:r>
        <w:rPr>
          <w:rFonts w:hint="eastAsia" w:hAnsi="宋体"/>
          <w:color w:val="0D0D0D"/>
          <w:sz w:val="24"/>
          <w:szCs w:val="24"/>
        </w:rPr>
        <w:t>初步</w:t>
      </w:r>
      <w:r>
        <w:rPr>
          <w:rFonts w:hAnsi="宋体"/>
          <w:color w:val="0D0D0D"/>
          <w:sz w:val="24"/>
          <w:szCs w:val="24"/>
        </w:rPr>
        <w:t>研判</w:t>
      </w:r>
      <w:r>
        <w:rPr>
          <w:rFonts w:hint="eastAsia" w:hAnsi="宋体"/>
          <w:color w:val="0D0D0D"/>
          <w:sz w:val="24"/>
          <w:szCs w:val="24"/>
        </w:rPr>
        <w:t xml:space="preserve">。 </w:t>
      </w:r>
    </w:p>
    <w:p>
      <w:pPr>
        <w:pStyle w:val="10"/>
        <w:spacing w:line="520" w:lineRule="exact"/>
        <w:ind w:firstLine="480"/>
        <w:rPr>
          <w:rFonts w:hAnsi="宋体"/>
          <w:color w:val="0D0D0D"/>
          <w:sz w:val="24"/>
          <w:szCs w:val="24"/>
        </w:rPr>
      </w:pPr>
      <w:r>
        <w:rPr>
          <w:rFonts w:hint="eastAsia" w:hAnsi="宋体"/>
          <w:color w:val="0D0D0D"/>
          <w:sz w:val="24"/>
          <w:szCs w:val="24"/>
        </w:rPr>
        <w:t>6.相关跟进配合服务，包括项目规划设计配合、政府沟通配合及集团会议配合等内容。</w:t>
      </w:r>
    </w:p>
    <w:p>
      <w:pPr>
        <w:pStyle w:val="10"/>
        <w:spacing w:line="520" w:lineRule="exact"/>
        <w:ind w:firstLine="480"/>
        <w:rPr>
          <w:rFonts w:hint="eastAsia" w:hAnsi="宋体"/>
          <w:color w:val="0D0D0D"/>
          <w:sz w:val="24"/>
          <w:szCs w:val="24"/>
        </w:rPr>
      </w:pPr>
      <w:r>
        <w:rPr>
          <w:rFonts w:hint="eastAsia" w:hAnsi="宋体"/>
          <w:color w:val="0D0D0D"/>
          <w:sz w:val="24"/>
          <w:szCs w:val="24"/>
        </w:rPr>
        <w:t>阶段</w:t>
      </w:r>
      <w:r>
        <w:rPr>
          <w:rFonts w:hAnsi="宋体"/>
          <w:color w:val="0D0D0D"/>
          <w:sz w:val="24"/>
          <w:szCs w:val="24"/>
        </w:rPr>
        <w:t>二</w:t>
      </w:r>
      <w:r>
        <w:rPr>
          <w:rFonts w:hint="eastAsia" w:hAnsi="宋体"/>
          <w:color w:val="0D0D0D"/>
          <w:sz w:val="24"/>
          <w:szCs w:val="24"/>
        </w:rPr>
        <w:t>（定位</w:t>
      </w:r>
      <w:r>
        <w:rPr>
          <w:rFonts w:hAnsi="宋体"/>
          <w:color w:val="0D0D0D"/>
          <w:sz w:val="24"/>
          <w:szCs w:val="24"/>
        </w:rPr>
        <w:t>研究阶段</w:t>
      </w:r>
      <w:r>
        <w:rPr>
          <w:rFonts w:hint="eastAsia" w:hAnsi="宋体"/>
          <w:color w:val="0D0D0D"/>
          <w:sz w:val="24"/>
          <w:szCs w:val="24"/>
        </w:rPr>
        <w:t>）</w:t>
      </w:r>
      <w:r>
        <w:rPr>
          <w:rFonts w:hAnsi="宋体"/>
          <w:color w:val="0D0D0D"/>
          <w:sz w:val="24"/>
          <w:szCs w:val="24"/>
        </w:rPr>
        <w:t>：</w:t>
      </w:r>
      <w:r>
        <w:rPr>
          <w:rFonts w:hint="eastAsia" w:hAnsi="宋体"/>
          <w:color w:val="0D0D0D"/>
          <w:sz w:val="24"/>
          <w:szCs w:val="24"/>
        </w:rPr>
        <w:t>项目整体定位报告</w:t>
      </w:r>
      <w:r>
        <w:rPr>
          <w:rFonts w:hint="eastAsia" w:hAnsi="宋体"/>
          <w:color w:val="0D0D0D"/>
          <w:sz w:val="24"/>
          <w:szCs w:val="24"/>
          <w:lang w:eastAsia="zh-CN"/>
        </w:rPr>
        <w:t>，</w:t>
      </w:r>
      <w:r>
        <w:rPr>
          <w:rFonts w:hint="eastAsia" w:hAnsi="宋体"/>
          <w:color w:val="0D0D0D"/>
          <w:sz w:val="24"/>
          <w:szCs w:val="24"/>
        </w:rPr>
        <w:t>范围</w:t>
      </w:r>
      <w:r>
        <w:rPr>
          <w:rFonts w:hint="eastAsia" w:hAnsi="宋体"/>
          <w:color w:val="0D0D0D"/>
          <w:sz w:val="24"/>
          <w:szCs w:val="24"/>
          <w:lang w:val="en-US" w:eastAsia="zh-CN"/>
        </w:rPr>
        <w:t>为</w:t>
      </w:r>
      <w:bookmarkStart w:id="6" w:name="_GoBack"/>
      <w:bookmarkEnd w:id="6"/>
      <w:r>
        <w:rPr>
          <w:rFonts w:hint="eastAsia" w:hAnsi="宋体"/>
          <w:color w:val="0D0D0D"/>
          <w:sz w:val="24"/>
          <w:szCs w:val="24"/>
          <w:lang w:val="en-US" w:eastAsia="zh-CN"/>
        </w:rPr>
        <w:t>对西丽枢纽</w:t>
      </w:r>
      <w:r>
        <w:rPr>
          <w:rFonts w:hint="eastAsia" w:hAnsi="宋体"/>
          <w:color w:val="0D0D0D"/>
          <w:sz w:val="24"/>
          <w:szCs w:val="24"/>
        </w:rPr>
        <w:t>最终获取</w:t>
      </w:r>
      <w:r>
        <w:rPr>
          <w:rFonts w:hint="eastAsia" w:hAnsi="宋体"/>
          <w:color w:val="0D0D0D"/>
          <w:sz w:val="24"/>
          <w:szCs w:val="24"/>
          <w:lang w:val="en-US" w:eastAsia="zh-CN"/>
        </w:rPr>
        <w:t>的</w:t>
      </w:r>
      <w:r>
        <w:rPr>
          <w:rFonts w:hint="eastAsia" w:hAnsi="宋体"/>
          <w:color w:val="0D0D0D"/>
          <w:sz w:val="24"/>
          <w:szCs w:val="24"/>
        </w:rPr>
        <w:t>土地（研究范围存在缩小或调整的可能）</w:t>
      </w:r>
      <w:r>
        <w:rPr>
          <w:rFonts w:hint="eastAsia" w:hAnsi="宋体"/>
          <w:color w:val="0D0D0D"/>
          <w:sz w:val="24"/>
          <w:szCs w:val="24"/>
          <w:lang w:val="en-US" w:eastAsia="zh-CN"/>
        </w:rPr>
        <w:t>进行整体定位研究</w:t>
      </w:r>
      <w:r>
        <w:rPr>
          <w:rFonts w:hint="eastAsia" w:hAnsi="宋体"/>
          <w:color w:val="0D0D0D"/>
          <w:sz w:val="24"/>
          <w:szCs w:val="24"/>
        </w:rPr>
        <w:t>，包括但不限以下内容：</w:t>
      </w:r>
    </w:p>
    <w:p>
      <w:pPr>
        <w:pStyle w:val="10"/>
        <w:spacing w:line="520" w:lineRule="exact"/>
        <w:ind w:firstLine="480"/>
        <w:rPr>
          <w:rFonts w:hAnsi="宋体"/>
          <w:color w:val="0D0D0D"/>
          <w:sz w:val="24"/>
          <w:szCs w:val="24"/>
        </w:rPr>
      </w:pPr>
      <w:r>
        <w:rPr>
          <w:rFonts w:hint="eastAsia" w:hAnsi="宋体"/>
          <w:color w:val="0D0D0D"/>
          <w:sz w:val="24"/>
          <w:szCs w:val="24"/>
        </w:rPr>
        <w:t>1.项目地块分析：包括地块区域分析、地块整体分析、土地价值的定性定量评估、地块优劣势分析、项目价值初判。</w:t>
      </w:r>
    </w:p>
    <w:p>
      <w:pPr>
        <w:pStyle w:val="10"/>
        <w:spacing w:line="520" w:lineRule="exact"/>
        <w:ind w:firstLine="480"/>
        <w:rPr>
          <w:rFonts w:hAnsi="宋体"/>
          <w:color w:val="0D0D0D"/>
          <w:sz w:val="24"/>
          <w:szCs w:val="24"/>
        </w:rPr>
      </w:pPr>
      <w:r>
        <w:rPr>
          <w:rFonts w:hint="eastAsia" w:hAnsi="宋体"/>
          <w:color w:val="0D0D0D"/>
          <w:sz w:val="24"/>
          <w:szCs w:val="24"/>
        </w:rPr>
        <w:t>2.市场调研</w:t>
      </w:r>
    </w:p>
    <w:p>
      <w:pPr>
        <w:pStyle w:val="10"/>
        <w:spacing w:line="520" w:lineRule="exact"/>
        <w:ind w:firstLine="480"/>
        <w:rPr>
          <w:rFonts w:hAnsi="宋体"/>
          <w:color w:val="0D0D0D"/>
          <w:sz w:val="24"/>
          <w:szCs w:val="24"/>
        </w:rPr>
      </w:pPr>
      <w:r>
        <w:rPr>
          <w:rFonts w:hint="eastAsia" w:hAnsi="宋体"/>
          <w:color w:val="0D0D0D"/>
          <w:sz w:val="24"/>
          <w:szCs w:val="24"/>
        </w:rPr>
        <w:t>（1）区域市场研究：包括区域发展现状结论、区域发展趋势研判、项目在区域中的占位及功能初步评估、市场调研结论。</w:t>
      </w:r>
    </w:p>
    <w:p>
      <w:pPr>
        <w:pStyle w:val="10"/>
        <w:spacing w:line="520" w:lineRule="exact"/>
        <w:ind w:firstLine="480"/>
        <w:rPr>
          <w:rFonts w:hAnsi="宋体"/>
          <w:color w:val="0D0D0D"/>
          <w:sz w:val="24"/>
          <w:szCs w:val="24"/>
        </w:rPr>
      </w:pPr>
      <w:r>
        <w:rPr>
          <w:rFonts w:hint="eastAsia" w:hAnsi="宋体"/>
          <w:color w:val="0D0D0D"/>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pPr>
        <w:pStyle w:val="10"/>
        <w:spacing w:line="520" w:lineRule="exact"/>
        <w:ind w:firstLine="480"/>
        <w:rPr>
          <w:rFonts w:hAnsi="宋体"/>
          <w:color w:val="0D0D0D"/>
          <w:sz w:val="24"/>
          <w:szCs w:val="24"/>
        </w:rPr>
      </w:pPr>
      <w:r>
        <w:rPr>
          <w:rFonts w:hint="eastAsia" w:hAnsi="宋体"/>
          <w:color w:val="0D0D0D"/>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根据定量分析结论提出对规划指标的调整建议。</w:t>
      </w:r>
    </w:p>
    <w:p>
      <w:pPr>
        <w:pStyle w:val="10"/>
        <w:spacing w:line="520" w:lineRule="exact"/>
        <w:ind w:firstLine="480"/>
        <w:rPr>
          <w:rFonts w:hAnsi="宋体"/>
          <w:color w:val="0D0D0D"/>
          <w:sz w:val="24"/>
          <w:szCs w:val="24"/>
        </w:rPr>
      </w:pPr>
      <w:r>
        <w:rPr>
          <w:rFonts w:hint="eastAsia" w:hAnsi="宋体"/>
          <w:color w:val="0D0D0D"/>
          <w:sz w:val="24"/>
          <w:szCs w:val="24"/>
        </w:rPr>
        <w:t>4.本项目整体定位</w:t>
      </w:r>
    </w:p>
    <w:p>
      <w:pPr>
        <w:pStyle w:val="10"/>
        <w:spacing w:line="520" w:lineRule="exact"/>
        <w:ind w:firstLine="480"/>
        <w:rPr>
          <w:rFonts w:hAnsi="宋体"/>
          <w:color w:val="0D0D0D"/>
          <w:sz w:val="24"/>
          <w:szCs w:val="24"/>
        </w:rPr>
      </w:pPr>
      <w:r>
        <w:rPr>
          <w:rFonts w:hint="eastAsia" w:hAnsi="宋体"/>
          <w:color w:val="0D0D0D"/>
          <w:sz w:val="24"/>
          <w:szCs w:val="24"/>
        </w:rPr>
        <w:t>（1）本项目整体物业定位、本项目整体形象定位、本项目功能定位、本项目档次定位。</w:t>
      </w:r>
    </w:p>
    <w:p>
      <w:pPr>
        <w:pStyle w:val="10"/>
        <w:spacing w:line="520" w:lineRule="exact"/>
        <w:ind w:firstLine="480"/>
        <w:rPr>
          <w:rFonts w:hAnsi="宋体"/>
          <w:color w:val="0D0D0D"/>
          <w:sz w:val="24"/>
          <w:szCs w:val="24"/>
        </w:rPr>
      </w:pPr>
      <w:r>
        <w:rPr>
          <w:rFonts w:hint="eastAsia" w:hAnsi="宋体"/>
          <w:color w:val="0D0D0D"/>
          <w:sz w:val="24"/>
          <w:szCs w:val="24"/>
        </w:rPr>
        <w:t>（2）分物业属性定位、形象定位、档次定位、客户定位、产品定位、业态定位等。</w:t>
      </w:r>
    </w:p>
    <w:p>
      <w:pPr>
        <w:pStyle w:val="10"/>
        <w:spacing w:line="520" w:lineRule="exact"/>
        <w:ind w:firstLine="480"/>
        <w:rPr>
          <w:rFonts w:hAnsi="宋体"/>
          <w:color w:val="0D0D0D"/>
          <w:sz w:val="24"/>
          <w:szCs w:val="24"/>
        </w:rPr>
      </w:pPr>
      <w:r>
        <w:rPr>
          <w:rFonts w:hint="eastAsia" w:hAnsi="宋体"/>
          <w:color w:val="0D0D0D"/>
          <w:sz w:val="24"/>
          <w:szCs w:val="24"/>
        </w:rPr>
        <w:t>5.项目初步开发策划建议</w:t>
      </w:r>
    </w:p>
    <w:p>
      <w:pPr>
        <w:pStyle w:val="10"/>
        <w:spacing w:line="520" w:lineRule="exact"/>
        <w:ind w:firstLine="480"/>
        <w:rPr>
          <w:rFonts w:hAnsi="宋体"/>
          <w:color w:val="0D0D0D"/>
          <w:sz w:val="24"/>
          <w:szCs w:val="24"/>
        </w:rPr>
      </w:pPr>
      <w:r>
        <w:rPr>
          <w:rFonts w:hint="eastAsia" w:hAnsi="宋体"/>
          <w:color w:val="0D0D0D"/>
          <w:sz w:val="24"/>
          <w:szCs w:val="24"/>
        </w:rPr>
        <w:t>6.项目初步经济测算</w:t>
      </w:r>
    </w:p>
    <w:p>
      <w:pPr>
        <w:pStyle w:val="10"/>
        <w:spacing w:line="520" w:lineRule="exact"/>
        <w:ind w:firstLine="480"/>
        <w:rPr>
          <w:rFonts w:hAnsi="宋体"/>
          <w:color w:val="0D0D0D"/>
          <w:sz w:val="24"/>
          <w:szCs w:val="24"/>
        </w:rPr>
      </w:pPr>
      <w:r>
        <w:rPr>
          <w:rFonts w:hint="eastAsia" w:hAnsi="宋体"/>
          <w:color w:val="0D0D0D"/>
          <w:sz w:val="24"/>
          <w:szCs w:val="24"/>
        </w:rPr>
        <w:t>7.项目物业发展建议</w:t>
      </w:r>
    </w:p>
    <w:bookmarkEnd w:id="1"/>
    <w:p>
      <w:pPr>
        <w:pStyle w:val="10"/>
        <w:spacing w:line="520" w:lineRule="exact"/>
        <w:ind w:firstLine="480"/>
        <w:rPr>
          <w:rFonts w:hAnsi="宋体"/>
          <w:color w:val="0D0D0D"/>
          <w:sz w:val="24"/>
          <w:szCs w:val="24"/>
        </w:rPr>
      </w:pPr>
      <w:r>
        <w:rPr>
          <w:rFonts w:hint="eastAsia" w:hAnsi="宋体"/>
          <w:color w:val="0D0D0D"/>
          <w:sz w:val="24"/>
          <w:szCs w:val="24"/>
        </w:rPr>
        <w:t>其它：本项目规划设计配合及跟进服务，内容包括但不限于：</w:t>
      </w:r>
    </w:p>
    <w:p>
      <w:pPr>
        <w:pStyle w:val="10"/>
        <w:spacing w:line="520" w:lineRule="exact"/>
        <w:ind w:firstLine="480"/>
        <w:rPr>
          <w:rFonts w:hAnsi="宋体"/>
          <w:color w:val="0D0D0D"/>
          <w:sz w:val="24"/>
          <w:szCs w:val="24"/>
        </w:rPr>
      </w:pPr>
      <w:r>
        <w:rPr>
          <w:rFonts w:hint="eastAsia" w:hAnsi="宋体"/>
          <w:color w:val="0D0D0D"/>
          <w:sz w:val="24"/>
          <w:szCs w:val="24"/>
        </w:rPr>
        <w:t>1</w:t>
      </w:r>
      <w:r>
        <w:rPr>
          <w:rFonts w:hAnsi="宋体"/>
          <w:color w:val="0D0D0D"/>
          <w:sz w:val="24"/>
          <w:szCs w:val="24"/>
        </w:rPr>
        <w:t>.</w:t>
      </w:r>
      <w:r>
        <w:rPr>
          <w:rFonts w:hint="eastAsia" w:hAnsi="宋体"/>
          <w:color w:val="0D0D0D"/>
          <w:sz w:val="24"/>
          <w:szCs w:val="24"/>
        </w:rPr>
        <w:t>配合后续由于项目规划设计等相关工作的需求，涉及到的定位报告的调整与更新工作，</w:t>
      </w:r>
      <w:r>
        <w:rPr>
          <w:rFonts w:hAnsi="宋体"/>
          <w:color w:val="0D0D0D"/>
          <w:sz w:val="24"/>
          <w:szCs w:val="24"/>
        </w:rPr>
        <w:t>以及相关</w:t>
      </w:r>
      <w:r>
        <w:rPr>
          <w:rFonts w:hint="eastAsia" w:hAnsi="宋体"/>
          <w:color w:val="0D0D0D"/>
          <w:sz w:val="24"/>
          <w:szCs w:val="24"/>
        </w:rPr>
        <w:t>规划</w:t>
      </w:r>
      <w:r>
        <w:rPr>
          <w:rFonts w:hAnsi="宋体"/>
          <w:color w:val="0D0D0D"/>
          <w:sz w:val="24"/>
          <w:szCs w:val="24"/>
        </w:rPr>
        <w:t>设计相关的意见反馈、</w:t>
      </w:r>
      <w:r>
        <w:rPr>
          <w:rFonts w:hint="eastAsia" w:hAnsi="宋体"/>
          <w:color w:val="0D0D0D"/>
          <w:sz w:val="24"/>
          <w:szCs w:val="24"/>
        </w:rPr>
        <w:t>专项</w:t>
      </w:r>
      <w:r>
        <w:rPr>
          <w:rFonts w:hAnsi="宋体"/>
          <w:color w:val="0D0D0D"/>
          <w:sz w:val="24"/>
          <w:szCs w:val="24"/>
        </w:rPr>
        <w:t>建议等</w:t>
      </w:r>
      <w:r>
        <w:rPr>
          <w:rFonts w:hint="eastAsia" w:hAnsi="宋体"/>
          <w:color w:val="0D0D0D"/>
          <w:sz w:val="24"/>
          <w:szCs w:val="24"/>
        </w:rPr>
        <w:t>；</w:t>
      </w:r>
    </w:p>
    <w:p>
      <w:pPr>
        <w:pStyle w:val="10"/>
        <w:spacing w:line="520" w:lineRule="exact"/>
        <w:ind w:firstLine="480"/>
        <w:rPr>
          <w:rFonts w:hint="eastAsia" w:hAnsi="宋体"/>
          <w:color w:val="0D0D0D"/>
          <w:sz w:val="24"/>
          <w:szCs w:val="24"/>
        </w:rPr>
      </w:pPr>
      <w:r>
        <w:rPr>
          <w:rFonts w:hint="eastAsia" w:hAnsi="宋体"/>
          <w:color w:val="0D0D0D"/>
          <w:sz w:val="24"/>
          <w:szCs w:val="24"/>
        </w:rPr>
        <w:t>2</w:t>
      </w:r>
      <w:r>
        <w:rPr>
          <w:rFonts w:hAnsi="宋体"/>
          <w:color w:val="0D0D0D"/>
          <w:sz w:val="24"/>
          <w:szCs w:val="24"/>
        </w:rPr>
        <w:t>.</w:t>
      </w:r>
      <w:r>
        <w:rPr>
          <w:rFonts w:hint="eastAsia" w:hAnsi="宋体"/>
          <w:color w:val="0D0D0D"/>
          <w:sz w:val="24"/>
          <w:szCs w:val="24"/>
        </w:rPr>
        <w:t>在服务期内按要求提供相关咨询及顾问服务（包括但不限于市场研究、市场动态、市场数据等）。</w:t>
      </w:r>
    </w:p>
    <w:p>
      <w:pPr>
        <w:pStyle w:val="10"/>
        <w:spacing w:line="520" w:lineRule="exact"/>
        <w:ind w:firstLine="482"/>
        <w:rPr>
          <w:rFonts w:hAnsi="宋体"/>
          <w:b/>
          <w:bCs/>
          <w:color w:val="0D0D0D"/>
          <w:sz w:val="24"/>
          <w:szCs w:val="24"/>
        </w:rPr>
      </w:pPr>
      <w:r>
        <w:rPr>
          <w:rFonts w:hint="eastAsia" w:hAnsi="宋体"/>
          <w:b/>
          <w:bCs/>
          <w:color w:val="0D0D0D"/>
          <w:sz w:val="24"/>
          <w:szCs w:val="24"/>
        </w:rPr>
        <w:t>三、比选控制价格</w:t>
      </w:r>
    </w:p>
    <w:p>
      <w:pPr>
        <w:pStyle w:val="10"/>
        <w:spacing w:line="520" w:lineRule="exact"/>
        <w:ind w:firstLine="480"/>
        <w:rPr>
          <w:rFonts w:hAnsi="宋体"/>
          <w:color w:val="0D0D0D"/>
          <w:sz w:val="24"/>
          <w:szCs w:val="24"/>
        </w:rPr>
      </w:pPr>
      <w:r>
        <w:rPr>
          <w:rFonts w:hint="eastAsia" w:hAnsi="宋体"/>
          <w:color w:val="0D0D0D"/>
          <w:sz w:val="24"/>
          <w:szCs w:val="24"/>
        </w:rPr>
        <w:t>本次参选报价总费用最高限价为人民币</w:t>
      </w:r>
      <w:r>
        <w:rPr>
          <w:rFonts w:hint="eastAsia" w:hAnsi="宋体"/>
          <w:color w:val="0D0D0D"/>
          <w:sz w:val="24"/>
          <w:szCs w:val="24"/>
          <w:lang w:val="en-US" w:eastAsia="zh-CN"/>
        </w:rPr>
        <w:t>107</w:t>
      </w:r>
      <w:r>
        <w:rPr>
          <w:rFonts w:hint="eastAsia" w:hAnsi="宋体"/>
          <w:color w:val="0D0D0D"/>
          <w:sz w:val="24"/>
          <w:szCs w:val="24"/>
        </w:rPr>
        <w:t>万元（含</w:t>
      </w:r>
      <w:r>
        <w:rPr>
          <w:rFonts w:hAnsi="宋体"/>
          <w:color w:val="0D0D0D"/>
          <w:sz w:val="24"/>
          <w:szCs w:val="24"/>
        </w:rPr>
        <w:t>税</w:t>
      </w:r>
      <w:r>
        <w:rPr>
          <w:rFonts w:hint="eastAsia" w:hAnsi="宋体"/>
          <w:color w:val="0D0D0D"/>
          <w:sz w:val="24"/>
          <w:szCs w:val="24"/>
        </w:rPr>
        <w:t>）。</w:t>
      </w:r>
    </w:p>
    <w:p>
      <w:pPr>
        <w:pStyle w:val="10"/>
        <w:spacing w:line="520" w:lineRule="exact"/>
        <w:ind w:firstLine="482"/>
        <w:rPr>
          <w:rFonts w:hAnsi="宋体"/>
          <w:b/>
          <w:bCs/>
          <w:color w:val="0D0D0D"/>
          <w:sz w:val="24"/>
          <w:szCs w:val="24"/>
        </w:rPr>
      </w:pPr>
      <w:r>
        <w:rPr>
          <w:rFonts w:hint="eastAsia" w:hAnsi="宋体"/>
          <w:b/>
          <w:bCs/>
          <w:color w:val="0D0D0D"/>
          <w:sz w:val="24"/>
          <w:szCs w:val="24"/>
        </w:rPr>
        <w:t>四、参选人资格要求</w:t>
      </w:r>
    </w:p>
    <w:p>
      <w:pPr>
        <w:pStyle w:val="10"/>
        <w:spacing w:line="520" w:lineRule="exact"/>
        <w:ind w:firstLine="480"/>
        <w:rPr>
          <w:rFonts w:hAnsi="宋体"/>
          <w:color w:val="0D0D0D"/>
          <w:sz w:val="24"/>
          <w:szCs w:val="24"/>
        </w:rPr>
      </w:pPr>
      <w:bookmarkStart w:id="2" w:name="baidusnap4"/>
      <w:bookmarkEnd w:id="2"/>
      <w:bookmarkStart w:id="3" w:name="baidusnap7"/>
      <w:bookmarkEnd w:id="3"/>
      <w:bookmarkStart w:id="4" w:name="baidusnap0"/>
      <w:bookmarkEnd w:id="4"/>
      <w:bookmarkStart w:id="5" w:name="baidusnap1"/>
      <w:bookmarkEnd w:id="5"/>
      <w:r>
        <w:rPr>
          <w:rFonts w:hint="eastAsia" w:hAnsi="宋体"/>
          <w:color w:val="0D0D0D"/>
          <w:sz w:val="24"/>
          <w:szCs w:val="24"/>
        </w:rPr>
        <w:t>（一）公司成立时间：2014年1月1日之前成立。</w:t>
      </w:r>
    </w:p>
    <w:p>
      <w:pPr>
        <w:pStyle w:val="10"/>
        <w:spacing w:line="520" w:lineRule="exact"/>
        <w:ind w:firstLine="480"/>
        <w:rPr>
          <w:rFonts w:hint="eastAsia" w:hAnsi="宋体"/>
          <w:color w:val="0D0D0D"/>
          <w:sz w:val="24"/>
          <w:szCs w:val="24"/>
        </w:rPr>
      </w:pPr>
      <w:r>
        <w:rPr>
          <w:rFonts w:hint="eastAsia" w:hAnsi="宋体"/>
          <w:color w:val="0D0D0D"/>
          <w:sz w:val="24"/>
          <w:szCs w:val="24"/>
        </w:rPr>
        <w:t>（二）执业资质：</w:t>
      </w:r>
      <w:r>
        <w:rPr>
          <w:rFonts w:hint="eastAsia" w:hAnsi="宋体"/>
          <w:color w:val="0D0D0D"/>
          <w:sz w:val="24"/>
          <w:szCs w:val="24"/>
          <w:lang w:val="en-US" w:eastAsia="zh-CN"/>
        </w:rPr>
        <w:t>具备房地产咨询或房地产策划或房地产代理等营业许可，</w:t>
      </w:r>
      <w:r>
        <w:rPr>
          <w:rFonts w:hint="eastAsia" w:hAnsi="宋体"/>
          <w:color w:val="0D0D0D"/>
          <w:sz w:val="24"/>
          <w:szCs w:val="24"/>
        </w:rPr>
        <w:t>具有深圳市房地产经纪机构备案证书。</w:t>
      </w:r>
    </w:p>
    <w:p>
      <w:pPr>
        <w:pStyle w:val="10"/>
        <w:spacing w:line="520" w:lineRule="exact"/>
        <w:ind w:firstLine="480"/>
        <w:rPr>
          <w:rFonts w:hAnsi="宋体"/>
          <w:color w:val="0D0D0D"/>
          <w:sz w:val="24"/>
          <w:szCs w:val="24"/>
        </w:rPr>
      </w:pPr>
      <w:r>
        <w:rPr>
          <w:rFonts w:hint="eastAsia" w:hAnsi="宋体"/>
          <w:color w:val="0D0D0D"/>
          <w:sz w:val="24"/>
          <w:szCs w:val="24"/>
        </w:rPr>
        <w:t>（三）公司业绩</w:t>
      </w:r>
    </w:p>
    <w:p>
      <w:pPr>
        <w:pStyle w:val="10"/>
        <w:spacing w:line="520" w:lineRule="exact"/>
        <w:ind w:firstLine="480"/>
        <w:rPr>
          <w:rFonts w:hint="eastAsia" w:hAnsi="宋体"/>
          <w:color w:val="0D0D0D"/>
          <w:sz w:val="24"/>
          <w:szCs w:val="24"/>
        </w:rPr>
      </w:pPr>
      <w:r>
        <w:rPr>
          <w:rFonts w:hint="eastAsia" w:hAnsi="宋体"/>
          <w:color w:val="0D0D0D"/>
          <w:sz w:val="24"/>
          <w:szCs w:val="24"/>
        </w:rPr>
        <w:t>201</w:t>
      </w:r>
      <w:r>
        <w:rPr>
          <w:rFonts w:hAnsi="宋体"/>
          <w:color w:val="0D0D0D"/>
          <w:sz w:val="24"/>
          <w:szCs w:val="24"/>
        </w:rPr>
        <w:t>8</w:t>
      </w:r>
      <w:r>
        <w:rPr>
          <w:rFonts w:hint="eastAsia" w:hAnsi="宋体"/>
          <w:color w:val="0D0D0D"/>
          <w:sz w:val="24"/>
          <w:szCs w:val="24"/>
        </w:rPr>
        <w:t>年1月1日至今，为深圳</w:t>
      </w:r>
      <w:r>
        <w:rPr>
          <w:rFonts w:hint="eastAsia" w:hAnsi="宋体"/>
          <w:color w:val="0D0D0D"/>
          <w:sz w:val="24"/>
          <w:szCs w:val="24"/>
          <w:lang w:val="en-US" w:eastAsia="zh-CN"/>
        </w:rPr>
        <w:t>地产类</w:t>
      </w:r>
      <w:r>
        <w:rPr>
          <w:rFonts w:hint="eastAsia" w:hAnsi="宋体"/>
          <w:color w:val="0D0D0D"/>
          <w:sz w:val="24"/>
          <w:szCs w:val="24"/>
        </w:rPr>
        <w:t>项目提供过前期策划服务且建筑面积在50万㎡以上综合体项目不少于1个。</w:t>
      </w:r>
    </w:p>
    <w:p>
      <w:pPr>
        <w:pStyle w:val="10"/>
        <w:spacing w:line="520" w:lineRule="exact"/>
        <w:ind w:firstLine="480"/>
        <w:rPr>
          <w:rFonts w:hAnsi="宋体"/>
          <w:color w:val="0D0D0D"/>
          <w:sz w:val="24"/>
          <w:szCs w:val="24"/>
        </w:rPr>
      </w:pPr>
      <w:r>
        <w:rPr>
          <w:rFonts w:hint="eastAsia" w:hAnsi="宋体"/>
          <w:color w:val="0D0D0D"/>
          <w:sz w:val="24"/>
          <w:szCs w:val="24"/>
        </w:rPr>
        <w:t>备注：1</w:t>
      </w:r>
      <w:r>
        <w:rPr>
          <w:rFonts w:hAnsi="宋体"/>
          <w:color w:val="0D0D0D"/>
          <w:sz w:val="24"/>
          <w:szCs w:val="24"/>
        </w:rPr>
        <w:t>.</w:t>
      </w:r>
      <w:r>
        <w:rPr>
          <w:rFonts w:hint="eastAsia" w:hAnsi="宋体"/>
          <w:color w:val="0D0D0D"/>
          <w:sz w:val="24"/>
          <w:szCs w:val="24"/>
        </w:rPr>
        <w:t>以上业绩证明材料</w:t>
      </w:r>
      <w:r>
        <w:rPr>
          <w:rFonts w:hAnsi="宋体"/>
          <w:color w:val="0D0D0D"/>
          <w:sz w:val="24"/>
          <w:szCs w:val="24"/>
        </w:rPr>
        <w:t>需提供</w:t>
      </w:r>
      <w:r>
        <w:rPr>
          <w:rFonts w:hint="eastAsia" w:hAnsi="宋体"/>
          <w:color w:val="0D0D0D"/>
          <w:sz w:val="24"/>
          <w:szCs w:val="24"/>
        </w:rPr>
        <w:t>相关合同关键页复印件，日期以合同签约日期为准，面积以合同签约面积为准，若合同上无面积，需另外提供面积证明材料；2</w:t>
      </w:r>
      <w:r>
        <w:rPr>
          <w:rFonts w:hAnsi="宋体"/>
          <w:color w:val="0D0D0D"/>
          <w:sz w:val="24"/>
          <w:szCs w:val="24"/>
        </w:rPr>
        <w:t>.</w:t>
      </w:r>
      <w:r>
        <w:rPr>
          <w:rFonts w:hint="eastAsia" w:hAnsi="宋体"/>
          <w:color w:val="0D0D0D"/>
          <w:sz w:val="24"/>
          <w:szCs w:val="24"/>
        </w:rPr>
        <w:t>综合体项目指含住宅、写字楼、公寓、商业、酒店、产业等业态中至少3种及以上业态的项目。</w:t>
      </w:r>
    </w:p>
    <w:p>
      <w:pPr>
        <w:pStyle w:val="10"/>
        <w:spacing w:line="520" w:lineRule="exact"/>
        <w:ind w:firstLine="480"/>
        <w:rPr>
          <w:rFonts w:hAnsi="宋体"/>
          <w:color w:val="0D0D0D"/>
          <w:sz w:val="24"/>
          <w:szCs w:val="24"/>
        </w:rPr>
      </w:pPr>
      <w:r>
        <w:rPr>
          <w:rFonts w:hint="eastAsia" w:hAnsi="宋体"/>
          <w:color w:val="0D0D0D"/>
          <w:sz w:val="24"/>
          <w:szCs w:val="24"/>
        </w:rPr>
        <w:t>（四</w:t>
      </w:r>
      <w:r>
        <w:rPr>
          <w:rFonts w:hAnsi="宋体"/>
          <w:color w:val="0D0D0D"/>
          <w:sz w:val="24"/>
          <w:szCs w:val="24"/>
        </w:rPr>
        <w:t>）</w:t>
      </w:r>
      <w:r>
        <w:rPr>
          <w:rFonts w:hint="eastAsia" w:hAnsi="宋体"/>
          <w:color w:val="0D0D0D"/>
          <w:sz w:val="24"/>
          <w:szCs w:val="24"/>
        </w:rPr>
        <w:t>本项目不接受：自2017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pStyle w:val="10"/>
        <w:spacing w:line="520" w:lineRule="exact"/>
        <w:ind w:firstLine="480"/>
        <w:rPr>
          <w:rFonts w:hAnsi="宋体"/>
          <w:color w:val="0D0D0D"/>
          <w:sz w:val="24"/>
          <w:szCs w:val="24"/>
        </w:rPr>
      </w:pPr>
      <w:r>
        <w:rPr>
          <w:rFonts w:hint="eastAsia" w:hAnsi="宋体"/>
          <w:color w:val="0D0D0D"/>
          <w:sz w:val="24"/>
          <w:szCs w:val="24"/>
        </w:rPr>
        <w:t>（五）本项目不接受联合体参选。单位负责人为同一人或者存在控股、管理关系的不同单位，不得参加同一项目比选。</w:t>
      </w:r>
    </w:p>
    <w:p>
      <w:pPr>
        <w:pStyle w:val="10"/>
        <w:spacing w:line="520" w:lineRule="exact"/>
        <w:ind w:firstLine="482"/>
        <w:rPr>
          <w:rFonts w:hint="eastAsia" w:hAnsi="宋体"/>
          <w:b/>
          <w:bCs/>
          <w:color w:val="0D0D0D"/>
          <w:sz w:val="24"/>
          <w:szCs w:val="24"/>
        </w:rPr>
      </w:pPr>
      <w:r>
        <w:rPr>
          <w:rFonts w:hint="eastAsia" w:hAnsi="宋体"/>
          <w:b/>
          <w:bCs/>
          <w:color w:val="0D0D0D"/>
          <w:sz w:val="24"/>
          <w:szCs w:val="24"/>
        </w:rPr>
        <w:t>六、参选的时间安排</w:t>
      </w:r>
    </w:p>
    <w:tbl>
      <w:tblPr>
        <w:tblStyle w:val="6"/>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FFFFFF"/>
                <w:szCs w:val="21"/>
              </w:rPr>
            </w:pPr>
            <w:r>
              <w:rPr>
                <w:rFonts w:hint="eastAsia" w:ascii="宋体" w:hAnsi="宋体" w:cs="宋体"/>
                <w:bCs/>
                <w:color w:val="FFFFFF"/>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FFFFFF"/>
                <w:szCs w:val="21"/>
              </w:rPr>
            </w:pPr>
            <w:r>
              <w:rPr>
                <w:rFonts w:hint="eastAsia" w:ascii="宋体" w:hAnsi="宋体" w:cs="宋体"/>
                <w:bCs/>
                <w:color w:val="FFFFFF"/>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FFFFFF"/>
                <w:szCs w:val="21"/>
              </w:rPr>
            </w:pPr>
            <w:r>
              <w:rPr>
                <w:rFonts w:hint="eastAsia" w:ascii="宋体" w:hAnsi="宋体" w:cs="宋体"/>
                <w:bCs/>
                <w:color w:val="FFFFFF"/>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color w:val="FFFFFF"/>
                <w:szCs w:val="21"/>
              </w:rPr>
            </w:pPr>
            <w:r>
              <w:rPr>
                <w:rFonts w:hint="eastAsia" w:ascii="宋体" w:hAnsi="宋体" w:cs="宋体"/>
                <w:bCs/>
                <w:color w:val="FFFFFF"/>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bCs/>
                <w:szCs w:val="21"/>
              </w:rPr>
              <w:t>发布比选公告</w:t>
            </w:r>
          </w:p>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（发标）</w:t>
            </w:r>
          </w:p>
        </w:tc>
        <w:tc>
          <w:tcPr>
            <w:tcW w:w="25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default" w:ascii="宋体" w:hAnsi="宋体" w:cs="宋体"/>
                <w:bCs/>
                <w:szCs w:val="21"/>
              </w:rPr>
              <w:t>2021年</w:t>
            </w:r>
            <w:r>
              <w:rPr>
                <w:rFonts w:hint="eastAsia" w:ascii="宋体" w:hAnsi="宋体" w:cs="宋体"/>
                <w:bCs/>
                <w:szCs w:val="21"/>
              </w:rPr>
              <w:t>10月9日</w:t>
            </w:r>
          </w:p>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p>
        </w:tc>
        <w:tc>
          <w:tcPr>
            <w:tcW w:w="51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484" w:leftChars="44" w:right="0" w:hanging="392" w:hangingChars="187"/>
              <w:jc w:val="center"/>
              <w:rPr>
                <w:rFonts w:hint="eastAsia" w:ascii="宋体" w:hAnsi="宋体" w:cs="宋体"/>
                <w:bCs/>
                <w:szCs w:val="21"/>
              </w:rPr>
            </w:pPr>
            <w:r>
              <w:rPr>
                <w:rFonts w:hint="eastAsia" w:ascii="宋体" w:hAnsi="宋体" w:cs="宋体"/>
                <w:bCs/>
                <w:szCs w:val="21"/>
              </w:rPr>
              <w:t>深圳市地铁集团有限公司外网</w:t>
            </w:r>
            <w:r>
              <w:rPr>
                <w:rFonts w:hint="eastAsia" w:ascii="宋体" w:hAnsi="宋体" w:cs="宋体"/>
                <w:color w:val="000000"/>
                <w:kern w:val="0"/>
                <w:szCs w:val="21"/>
              </w:rPr>
              <w:t>、</w:t>
            </w:r>
            <w:r>
              <w:rPr>
                <w:rFonts w:hint="eastAsia" w:ascii="宋体" w:hAnsi="宋体" w:cs="宋体"/>
                <w:bCs/>
                <w:szCs w:val="21"/>
              </w:rPr>
              <w:t>国资委阳光采购平台、深铁置业微信订阅号、深铁招采网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截标</w:t>
            </w:r>
          </w:p>
        </w:tc>
        <w:tc>
          <w:tcPr>
            <w:tcW w:w="25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bCs/>
                <w:szCs w:val="21"/>
              </w:rPr>
              <w:t xml:space="preserve"> 2021年10月19日 </w:t>
            </w:r>
            <w:r>
              <w:rPr>
                <w:rFonts w:hint="default" w:ascii="宋体" w:hAnsi="宋体" w:cs="宋体"/>
                <w:bCs/>
                <w:szCs w:val="21"/>
              </w:rPr>
              <w:t xml:space="preserve"> </w:t>
            </w:r>
          </w:p>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上午9:30</w:t>
            </w:r>
          </w:p>
        </w:tc>
        <w:tc>
          <w:tcPr>
            <w:tcW w:w="51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484" w:leftChars="44" w:right="0" w:hanging="392" w:hangingChars="187"/>
              <w:jc w:val="left"/>
              <w:rPr>
                <w:rFonts w:hint="default" w:ascii="宋体" w:hAnsi="宋体" w:cs="宋体"/>
                <w:bCs/>
                <w:szCs w:val="21"/>
              </w:rPr>
            </w:pPr>
            <w:r>
              <w:rPr>
                <w:rFonts w:hint="eastAsia" w:ascii="宋体" w:hAnsi="宋体" w:cs="宋体"/>
                <w:bCs/>
                <w:szCs w:val="21"/>
              </w:rPr>
              <w:t>1.纸质版参选文件递交地点：深铁置业大厦4</w:t>
            </w:r>
            <w:r>
              <w:rPr>
                <w:rFonts w:hint="default" w:ascii="宋体" w:hAnsi="宋体" w:cs="宋体"/>
                <w:bCs/>
                <w:szCs w:val="21"/>
              </w:rPr>
              <w:t>8楼</w:t>
            </w:r>
            <w:r>
              <w:rPr>
                <w:rFonts w:hint="eastAsia" w:ascii="宋体" w:hAnsi="宋体" w:cs="宋体"/>
                <w:bCs/>
                <w:szCs w:val="21"/>
              </w:rPr>
              <w:t>会议</w:t>
            </w:r>
          </w:p>
          <w:p>
            <w:pPr>
              <w:keepNext w:val="0"/>
              <w:keepLines w:val="0"/>
              <w:suppressLineNumbers w:val="0"/>
              <w:adjustRightInd w:val="0"/>
              <w:snapToGrid w:val="0"/>
              <w:spacing w:before="0" w:beforeAutospacing="0" w:after="0" w:afterAutospacing="0"/>
              <w:ind w:left="484" w:leftChars="44" w:right="0" w:hanging="392" w:hangingChars="187"/>
              <w:jc w:val="left"/>
              <w:rPr>
                <w:rFonts w:hint="default" w:ascii="宋体" w:hAnsi="宋体" w:cs="宋体"/>
                <w:bCs/>
                <w:szCs w:val="21"/>
              </w:rPr>
            </w:pPr>
            <w:r>
              <w:rPr>
                <w:rFonts w:hint="eastAsia" w:ascii="宋体" w:hAnsi="宋体" w:cs="宋体"/>
                <w:bCs/>
                <w:szCs w:val="21"/>
              </w:rPr>
              <w:t>2.电子版参选文件递交平台：</w:t>
            </w:r>
          </w:p>
          <w:p>
            <w:pPr>
              <w:keepNext w:val="0"/>
              <w:keepLines w:val="0"/>
              <w:suppressLineNumbers w:val="0"/>
              <w:adjustRightInd w:val="0"/>
              <w:snapToGrid w:val="0"/>
              <w:spacing w:before="0" w:beforeAutospacing="0" w:after="0" w:afterAutospacing="0"/>
              <w:ind w:left="484" w:leftChars="44" w:right="0" w:hanging="392" w:hangingChars="187"/>
              <w:jc w:val="left"/>
              <w:rPr>
                <w:rFonts w:hint="eastAsia" w:ascii="宋体" w:hAnsi="宋体" w:cs="宋体"/>
                <w:bCs/>
                <w:szCs w:val="21"/>
              </w:rPr>
            </w:pPr>
            <w:r>
              <w:rPr>
                <w:rFonts w:hint="eastAsia" w:ascii="宋体" w:hAnsi="宋体" w:cs="宋体"/>
                <w:bCs/>
                <w:szCs w:val="21"/>
              </w:rPr>
              <w:t>深圳地铁智能招采系统</w:t>
            </w:r>
          </w:p>
          <w:p>
            <w:pPr>
              <w:keepNext w:val="0"/>
              <w:keepLines w:val="0"/>
              <w:suppressLineNumbers w:val="0"/>
              <w:adjustRightInd w:val="0"/>
              <w:snapToGrid w:val="0"/>
              <w:spacing w:before="0" w:beforeAutospacing="0" w:after="0" w:afterAutospacing="0"/>
              <w:ind w:left="484" w:leftChars="44" w:right="0" w:hanging="392" w:hangingChars="187"/>
              <w:jc w:val="left"/>
              <w:rPr>
                <w:rFonts w:hint="eastAsia" w:ascii="宋体" w:hAnsi="宋体" w:cs="宋体"/>
                <w:bCs/>
                <w:szCs w:val="21"/>
              </w:rPr>
            </w:pPr>
            <w:r>
              <w:rPr>
                <w:rFonts w:hint="eastAsia" w:ascii="宋体" w:hAnsi="宋体" w:cs="宋体"/>
                <w:bCs/>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开标</w:t>
            </w:r>
          </w:p>
        </w:tc>
        <w:tc>
          <w:tcPr>
            <w:tcW w:w="2551"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szCs w:val="21"/>
              </w:rPr>
            </w:pPr>
            <w:r>
              <w:rPr>
                <w:rFonts w:hint="eastAsia" w:ascii="宋体" w:hAnsi="宋体" w:cs="宋体"/>
                <w:bCs/>
                <w:szCs w:val="21"/>
              </w:rPr>
              <w:t xml:space="preserve">2021年10月19日 </w:t>
            </w:r>
            <w:r>
              <w:rPr>
                <w:rFonts w:hint="default" w:ascii="宋体" w:hAnsi="宋体" w:cs="宋体"/>
                <w:bCs/>
                <w:szCs w:val="21"/>
              </w:rPr>
              <w:t xml:space="preserve"> </w:t>
            </w:r>
          </w:p>
          <w:p>
            <w:pPr>
              <w:keepNext w:val="0"/>
              <w:keepLines w:val="0"/>
              <w:suppressLineNumbers w:val="0"/>
              <w:adjustRightInd w:val="0"/>
              <w:snapToGrid w:val="0"/>
              <w:spacing w:before="0" w:beforeAutospacing="0" w:after="0" w:afterAutospacing="0"/>
              <w:ind w:left="0" w:right="0"/>
              <w:jc w:val="center"/>
              <w:rPr>
                <w:rFonts w:hint="eastAsia" w:ascii="宋体" w:hAnsi="宋体" w:cs="宋体"/>
                <w:bCs/>
                <w:szCs w:val="21"/>
              </w:rPr>
            </w:pPr>
            <w:r>
              <w:rPr>
                <w:rFonts w:hint="eastAsia" w:ascii="宋体" w:hAnsi="宋体" w:cs="宋体"/>
                <w:bCs/>
                <w:szCs w:val="21"/>
              </w:rPr>
              <w:t>上午9:30</w:t>
            </w:r>
          </w:p>
        </w:tc>
        <w:tc>
          <w:tcPr>
            <w:tcW w:w="514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djustRightInd w:val="0"/>
              <w:snapToGrid w:val="0"/>
              <w:spacing w:before="0" w:beforeAutospacing="0" w:after="0" w:afterAutospacing="0"/>
              <w:ind w:left="143" w:leftChars="68" w:right="0" w:firstLine="33" w:firstLineChars="16"/>
              <w:jc w:val="left"/>
              <w:rPr>
                <w:rFonts w:hint="eastAsia" w:ascii="宋体" w:hAnsi="宋体" w:cs="宋体"/>
                <w:bCs/>
                <w:szCs w:val="21"/>
              </w:rPr>
            </w:pPr>
            <w:r>
              <w:rPr>
                <w:rFonts w:hint="eastAsia" w:ascii="宋体" w:hAnsi="宋体" w:cs="宋体"/>
                <w:bCs/>
                <w:szCs w:val="21"/>
              </w:rPr>
              <w:t>开标地点：深铁置业大厦4</w:t>
            </w:r>
            <w:r>
              <w:rPr>
                <w:rFonts w:hint="default" w:ascii="宋体" w:hAnsi="宋体" w:cs="宋体"/>
                <w:bCs/>
                <w:szCs w:val="21"/>
              </w:rPr>
              <w:t>8楼</w:t>
            </w:r>
            <w:r>
              <w:rPr>
                <w:rFonts w:hint="eastAsia" w:ascii="宋体" w:hAnsi="宋体" w:cs="宋体"/>
                <w:bCs/>
                <w:szCs w:val="21"/>
              </w:rPr>
              <w:t>会议室</w:t>
            </w:r>
          </w:p>
        </w:tc>
      </w:tr>
    </w:tbl>
    <w:p>
      <w:pPr>
        <w:pStyle w:val="5"/>
        <w:spacing w:line="360" w:lineRule="auto"/>
        <w:ind w:firstLine="424" w:firstLineChars="177"/>
        <w:rPr>
          <w:rFonts w:hAnsi="宋体"/>
          <w:color w:val="0D0D0D"/>
          <w:sz w:val="24"/>
          <w:szCs w:val="24"/>
        </w:rPr>
      </w:pPr>
      <w:r>
        <w:rPr>
          <w:rFonts w:hint="eastAsia" w:hAnsi="宋体"/>
          <w:color w:val="0D0D0D"/>
          <w:sz w:val="24"/>
          <w:szCs w:val="24"/>
        </w:rPr>
        <w:t>备注：若参选人的纸质版参选文件与电子版参选文件提交的时间或内容相冲突，以提交的纸质版参选文件的时间或内容为准。</w:t>
      </w:r>
    </w:p>
    <w:p>
      <w:pPr>
        <w:pStyle w:val="5"/>
        <w:spacing w:line="360" w:lineRule="auto"/>
        <w:ind w:firstLine="482" w:firstLineChars="200"/>
        <w:rPr>
          <w:rFonts w:hAnsi="宋体"/>
          <w:b/>
          <w:color w:val="0D0D0D"/>
          <w:sz w:val="24"/>
          <w:szCs w:val="24"/>
        </w:rPr>
      </w:pPr>
      <w:r>
        <w:rPr>
          <w:rFonts w:hint="eastAsia" w:hAnsi="宋体"/>
          <w:b/>
          <w:color w:val="0D0D0D"/>
          <w:sz w:val="24"/>
          <w:szCs w:val="24"/>
        </w:rPr>
        <w:t>七、参选</w:t>
      </w:r>
      <w:r>
        <w:rPr>
          <w:rFonts w:hAnsi="宋体"/>
          <w:b/>
          <w:color w:val="0D0D0D"/>
          <w:sz w:val="24"/>
          <w:szCs w:val="24"/>
        </w:rPr>
        <w:t>文件所需材料：</w:t>
      </w:r>
    </w:p>
    <w:p>
      <w:pPr>
        <w:pStyle w:val="5"/>
        <w:spacing w:line="360" w:lineRule="auto"/>
        <w:ind w:left="426"/>
        <w:rPr>
          <w:rFonts w:hAnsi="宋体"/>
          <w:color w:val="0D0D0D"/>
          <w:sz w:val="24"/>
          <w:szCs w:val="24"/>
        </w:rPr>
      </w:pPr>
      <w:r>
        <w:rPr>
          <w:rFonts w:hint="eastAsia" w:hAnsi="宋体"/>
          <w:color w:val="0D0D0D"/>
          <w:sz w:val="24"/>
          <w:szCs w:val="24"/>
        </w:rPr>
        <w:t>1.根据比选</w:t>
      </w:r>
      <w:r>
        <w:rPr>
          <w:rFonts w:hAnsi="宋体"/>
          <w:color w:val="0D0D0D"/>
          <w:sz w:val="24"/>
          <w:szCs w:val="24"/>
        </w:rPr>
        <w:t>文件</w:t>
      </w:r>
      <w:r>
        <w:rPr>
          <w:rFonts w:hint="eastAsia" w:hAnsi="宋体"/>
          <w:color w:val="0D0D0D"/>
          <w:sz w:val="24"/>
          <w:szCs w:val="24"/>
        </w:rPr>
        <w:t>编制的参选</w:t>
      </w:r>
      <w:r>
        <w:rPr>
          <w:rFonts w:hAnsi="宋体"/>
          <w:color w:val="0D0D0D"/>
          <w:sz w:val="24"/>
          <w:szCs w:val="24"/>
        </w:rPr>
        <w:t>文件</w:t>
      </w:r>
      <w:r>
        <w:rPr>
          <w:rFonts w:hint="eastAsia" w:hAnsi="宋体"/>
          <w:color w:val="0D0D0D"/>
          <w:sz w:val="24"/>
          <w:szCs w:val="24"/>
        </w:rPr>
        <w:t>；</w:t>
      </w:r>
    </w:p>
    <w:p>
      <w:pPr>
        <w:pStyle w:val="5"/>
        <w:spacing w:line="360" w:lineRule="auto"/>
        <w:ind w:firstLine="424" w:firstLineChars="177"/>
        <w:rPr>
          <w:rFonts w:hAnsi="宋体"/>
          <w:color w:val="0D0D0D"/>
          <w:sz w:val="24"/>
          <w:szCs w:val="24"/>
        </w:rPr>
      </w:pPr>
      <w:r>
        <w:rPr>
          <w:rFonts w:hAnsi="宋体"/>
          <w:color w:val="0D0D0D"/>
          <w:sz w:val="24"/>
          <w:szCs w:val="24"/>
        </w:rPr>
        <w:t>2.</w:t>
      </w:r>
      <w:r>
        <w:rPr>
          <w:rFonts w:hint="eastAsia" w:hAnsi="宋体"/>
          <w:color w:val="0D0D0D"/>
          <w:sz w:val="24"/>
          <w:szCs w:val="24"/>
        </w:rPr>
        <w:t>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为参选单位的法定代表人（法定</w:t>
      </w:r>
      <w:r>
        <w:rPr>
          <w:rFonts w:hAnsi="宋体"/>
          <w:color w:val="0D0D0D"/>
          <w:sz w:val="24"/>
          <w:szCs w:val="24"/>
        </w:rPr>
        <w:t>负责人</w:t>
      </w:r>
      <w:r>
        <w:rPr>
          <w:rFonts w:hint="eastAsia" w:hAnsi="宋体"/>
          <w:color w:val="0D0D0D"/>
          <w:sz w:val="24"/>
          <w:szCs w:val="24"/>
        </w:rPr>
        <w:t>），须携带法定代表人证明书及本人身份证原件和复印件；如递交参选</w:t>
      </w:r>
      <w:r>
        <w:rPr>
          <w:rFonts w:hAnsi="宋体"/>
          <w:color w:val="0D0D0D"/>
          <w:sz w:val="24"/>
          <w:szCs w:val="24"/>
        </w:rPr>
        <w:t>文件的</w:t>
      </w:r>
      <w:r>
        <w:rPr>
          <w:rFonts w:hint="eastAsia" w:hAnsi="宋体"/>
          <w:color w:val="0D0D0D"/>
          <w:sz w:val="24"/>
          <w:szCs w:val="24"/>
        </w:rPr>
        <w:t>参选</w:t>
      </w:r>
      <w:r>
        <w:rPr>
          <w:rFonts w:hAnsi="宋体"/>
          <w:color w:val="0D0D0D"/>
          <w:sz w:val="24"/>
          <w:szCs w:val="24"/>
        </w:rPr>
        <w:t>人</w:t>
      </w:r>
      <w:r>
        <w:rPr>
          <w:rFonts w:hint="eastAsia" w:hAnsi="宋体"/>
          <w:color w:val="0D0D0D"/>
          <w:sz w:val="24"/>
          <w:szCs w:val="24"/>
        </w:rPr>
        <w:t>不是法定代表人，除携带本人身份证复印件外，还需携带法定代表人证明书和法定代表人身份证复印件及授权委托书。</w:t>
      </w:r>
    </w:p>
    <w:p>
      <w:pPr>
        <w:pStyle w:val="5"/>
        <w:spacing w:line="360" w:lineRule="auto"/>
        <w:ind w:firstLine="482" w:firstLineChars="200"/>
        <w:rPr>
          <w:rFonts w:hAnsi="宋体"/>
          <w:b/>
          <w:color w:val="0D0D0D"/>
          <w:sz w:val="24"/>
          <w:szCs w:val="24"/>
        </w:rPr>
      </w:pPr>
      <w:r>
        <w:rPr>
          <w:rFonts w:hint="eastAsia" w:hAnsi="宋体"/>
          <w:b/>
          <w:color w:val="0D0D0D"/>
          <w:sz w:val="24"/>
          <w:szCs w:val="24"/>
        </w:rPr>
        <w:t>八</w:t>
      </w:r>
      <w:r>
        <w:rPr>
          <w:rFonts w:hAnsi="宋体"/>
          <w:b/>
          <w:color w:val="0D0D0D"/>
          <w:sz w:val="24"/>
          <w:szCs w:val="24"/>
        </w:rPr>
        <w:t>、</w:t>
      </w:r>
      <w:r>
        <w:rPr>
          <w:rFonts w:hint="eastAsia" w:hAnsi="宋体"/>
          <w:b/>
          <w:color w:val="0D0D0D"/>
          <w:sz w:val="24"/>
          <w:szCs w:val="24"/>
        </w:rPr>
        <w:t>参选报名联系人</w:t>
      </w:r>
    </w:p>
    <w:p>
      <w:pPr>
        <w:pStyle w:val="5"/>
        <w:spacing w:line="360" w:lineRule="auto"/>
        <w:ind w:firstLine="480" w:firstLineChars="200"/>
        <w:rPr>
          <w:rFonts w:hAnsi="宋体"/>
          <w:color w:val="0D0D0D"/>
          <w:sz w:val="24"/>
          <w:szCs w:val="24"/>
        </w:rPr>
      </w:pPr>
      <w:r>
        <w:rPr>
          <w:rFonts w:hint="eastAsia" w:hAnsi="宋体"/>
          <w:color w:val="0D0D0D"/>
          <w:sz w:val="24"/>
          <w:szCs w:val="24"/>
        </w:rPr>
        <w:t>联系人：</w:t>
      </w:r>
      <w:r>
        <w:rPr>
          <w:rFonts w:hint="eastAsia" w:hAnsi="宋体"/>
          <w:color w:val="0D0D0D"/>
          <w:sz w:val="24"/>
        </w:rPr>
        <w:t>陈工</w:t>
      </w:r>
    </w:p>
    <w:p>
      <w:pPr>
        <w:pStyle w:val="5"/>
        <w:spacing w:line="360" w:lineRule="auto"/>
        <w:ind w:firstLine="480" w:firstLineChars="200"/>
        <w:rPr>
          <w:rFonts w:hAnsi="宋体"/>
          <w:color w:val="0D0D0D"/>
          <w:sz w:val="24"/>
          <w:szCs w:val="24"/>
        </w:rPr>
      </w:pPr>
      <w:r>
        <w:rPr>
          <w:rFonts w:hint="eastAsia" w:hAnsi="宋体"/>
          <w:color w:val="0D0D0D"/>
          <w:sz w:val="24"/>
          <w:szCs w:val="24"/>
        </w:rPr>
        <w:t>联系电话：</w:t>
      </w:r>
      <w:r>
        <w:rPr>
          <w:rFonts w:hAnsi="宋体"/>
          <w:color w:val="0D0D0D"/>
          <w:sz w:val="24"/>
        </w:rPr>
        <w:t>0755-89986623</w:t>
      </w:r>
    </w:p>
    <w:p>
      <w:pPr>
        <w:pStyle w:val="5"/>
        <w:spacing w:line="360" w:lineRule="auto"/>
        <w:ind w:firstLine="480" w:firstLineChars="200"/>
        <w:jc w:val="right"/>
        <w:rPr>
          <w:rFonts w:hAnsi="宋体"/>
          <w:color w:val="0D0D0D"/>
          <w:sz w:val="24"/>
          <w:szCs w:val="24"/>
        </w:rPr>
      </w:pPr>
    </w:p>
    <w:p>
      <w:pPr>
        <w:pStyle w:val="5"/>
        <w:spacing w:line="360" w:lineRule="auto"/>
        <w:ind w:firstLine="480" w:firstLineChars="200"/>
        <w:jc w:val="right"/>
        <w:rPr>
          <w:rFonts w:hAnsi="宋体"/>
          <w:color w:val="0D0D0D"/>
          <w:sz w:val="24"/>
          <w:szCs w:val="24"/>
        </w:rPr>
      </w:pPr>
      <w:r>
        <w:rPr>
          <w:rFonts w:hint="eastAsia" w:hAnsi="宋体"/>
          <w:color w:val="0D0D0D"/>
          <w:sz w:val="24"/>
          <w:szCs w:val="24"/>
        </w:rPr>
        <w:t>深圳市地铁集团有限公司</w:t>
      </w:r>
    </w:p>
    <w:p>
      <w:pPr>
        <w:pStyle w:val="5"/>
        <w:spacing w:line="360" w:lineRule="auto"/>
        <w:ind w:firstLine="480" w:firstLineChars="200"/>
        <w:jc w:val="right"/>
        <w:rPr>
          <w:rFonts w:hAnsi="宋体" w:cs="宋体"/>
          <w:color w:val="0D0D0D"/>
          <w:sz w:val="24"/>
          <w:szCs w:val="24"/>
        </w:rPr>
      </w:pPr>
      <w:r>
        <w:rPr>
          <w:rFonts w:hint="eastAsia" w:hAnsi="宋体" w:cs="宋体"/>
          <w:color w:val="0D0D0D"/>
          <w:sz w:val="24"/>
          <w:szCs w:val="24"/>
        </w:rPr>
        <w:t>          </w:t>
      </w:r>
      <w:r>
        <w:rPr>
          <w:rFonts w:hAnsi="宋体" w:cs="宋体"/>
          <w:color w:val="0D0D0D"/>
          <w:sz w:val="24"/>
          <w:szCs w:val="24"/>
        </w:rPr>
        <w:t>2020</w:t>
      </w:r>
      <w:r>
        <w:rPr>
          <w:rFonts w:hAnsi="宋体"/>
          <w:color w:val="0D0D0D"/>
          <w:sz w:val="24"/>
        </w:rPr>
        <w:t>年</w:t>
      </w:r>
      <w:r>
        <w:rPr>
          <w:rFonts w:hint="eastAsia" w:hAnsi="宋体"/>
          <w:color w:val="0D0D0D"/>
          <w:sz w:val="24"/>
        </w:rPr>
        <w:t>10月9日</w:t>
      </w:r>
      <w:r>
        <w:rPr>
          <w:rFonts w:hint="eastAsia" w:hAnsi="宋体" w:cs="宋体"/>
          <w:color w:val="0D0D0D"/>
          <w:sz w:val="24"/>
          <w:szCs w:val="24"/>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140"/>
    <w:rsid w:val="00A06140"/>
    <w:rsid w:val="00DB72D2"/>
    <w:rsid w:val="1ED168D7"/>
    <w:rsid w:val="1F974772"/>
    <w:rsid w:val="46943C50"/>
    <w:rsid w:val="5DCC4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4">
    <w:name w:val="heading 3"/>
    <w:basedOn w:val="1"/>
    <w:next w:val="1"/>
    <w:link w:val="8"/>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First Indent 2"/>
    <w:basedOn w:val="3"/>
    <w:link w:val="12"/>
    <w:semiHidden/>
    <w:unhideWhenUsed/>
    <w:qFormat/>
    <w:uiPriority w:val="99"/>
    <w:pPr>
      <w:ind w:firstLine="420" w:firstLineChars="200"/>
    </w:pPr>
  </w:style>
  <w:style w:type="paragraph" w:styleId="3">
    <w:name w:val="Body Text Indent"/>
    <w:basedOn w:val="1"/>
    <w:link w:val="11"/>
    <w:semiHidden/>
    <w:unhideWhenUsed/>
    <w:qFormat/>
    <w:uiPriority w:val="99"/>
    <w:pPr>
      <w:spacing w:after="120"/>
      <w:ind w:left="420" w:leftChars="200"/>
    </w:pPr>
  </w:style>
  <w:style w:type="paragraph" w:styleId="5">
    <w:name w:val="Plain Text"/>
    <w:basedOn w:val="1"/>
    <w:link w:val="9"/>
    <w:qFormat/>
    <w:uiPriority w:val="0"/>
    <w:pPr>
      <w:adjustRightInd w:val="0"/>
      <w:spacing w:line="312" w:lineRule="atLeast"/>
      <w:textAlignment w:val="baseline"/>
    </w:pPr>
    <w:rPr>
      <w:rFonts w:ascii="宋体" w:hAnsi="Courier New"/>
      <w:kern w:val="0"/>
      <w:sz w:val="20"/>
    </w:rPr>
  </w:style>
  <w:style w:type="character" w:customStyle="1" w:styleId="8">
    <w:name w:val="标题 3 Char"/>
    <w:basedOn w:val="7"/>
    <w:link w:val="4"/>
    <w:qFormat/>
    <w:uiPriority w:val="0"/>
    <w:rPr>
      <w:rFonts w:ascii="Times New Roman" w:hAnsi="Times New Roman" w:eastAsia="宋体" w:cs="Times New Roman"/>
      <w:b/>
      <w:kern w:val="0"/>
      <w:sz w:val="32"/>
      <w:szCs w:val="20"/>
    </w:rPr>
  </w:style>
  <w:style w:type="character" w:customStyle="1" w:styleId="9">
    <w:name w:val="纯文本 Char"/>
    <w:basedOn w:val="7"/>
    <w:link w:val="5"/>
    <w:qFormat/>
    <w:uiPriority w:val="0"/>
    <w:rPr>
      <w:rFonts w:ascii="宋体" w:hAnsi="Courier New" w:eastAsia="宋体" w:cs="Times New Roman"/>
      <w:kern w:val="0"/>
      <w:sz w:val="20"/>
      <w:szCs w:val="20"/>
    </w:rPr>
  </w:style>
  <w:style w:type="paragraph" w:customStyle="1" w:styleId="10">
    <w:name w:val="列出段落1"/>
    <w:basedOn w:val="1"/>
    <w:qFormat/>
    <w:uiPriority w:val="34"/>
    <w:pPr>
      <w:ind w:firstLine="420" w:firstLineChars="200"/>
    </w:pPr>
  </w:style>
  <w:style w:type="character" w:customStyle="1" w:styleId="11">
    <w:name w:val="正文文本缩进 Char"/>
    <w:basedOn w:val="7"/>
    <w:link w:val="3"/>
    <w:semiHidden/>
    <w:qFormat/>
    <w:uiPriority w:val="99"/>
    <w:rPr>
      <w:rFonts w:ascii="Times New Roman" w:hAnsi="Times New Roman" w:eastAsia="宋体" w:cs="Times New Roman"/>
      <w:szCs w:val="20"/>
    </w:rPr>
  </w:style>
  <w:style w:type="character" w:customStyle="1" w:styleId="12">
    <w:name w:val="正文首行缩进 2 Char"/>
    <w:basedOn w:val="11"/>
    <w:link w:val="2"/>
    <w:semiHidden/>
    <w:qFormat/>
    <w:uiPriority w:val="99"/>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340</Words>
  <Characters>1942</Characters>
  <Lines>16</Lines>
  <Paragraphs>4</Paragraphs>
  <TotalTime>1</TotalTime>
  <ScaleCrop>false</ScaleCrop>
  <LinksUpToDate>false</LinksUpToDate>
  <CharactersWithSpaces>2278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2021-09-28T17:37:00Z</dcterms:created>
  <dc:creator>Windows 用户</dc:creator>
  <cp:lastModifiedBy>陈玮良</cp:lastModifiedBy>
  <dcterms:modified xsi:type="dcterms:W3CDTF">2021-10-08T05:27:53Z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41199AEF119743139469F76F208FE388</vt:lpwstr>
  </property>
</Properties>
</file>