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hint="eastAsia" w:ascii="宋体" w:hAnsi="宋体"/>
          <w:b/>
          <w:bCs/>
          <w:spacing w:val="36"/>
          <w:sz w:val="36"/>
          <w:szCs w:val="36"/>
          <w:highlight w:val="none"/>
        </w:rPr>
      </w:pPr>
    </w:p>
    <w:p>
      <w:pPr>
        <w:spacing w:line="360" w:lineRule="auto"/>
        <w:jc w:val="center"/>
        <w:rPr>
          <w:rFonts w:eastAsia="黑体"/>
          <w:b/>
          <w:bCs/>
          <w:spacing w:val="36"/>
          <w:sz w:val="44"/>
          <w:szCs w:val="44"/>
          <w:highlight w:val="none"/>
        </w:rPr>
      </w:pPr>
      <w:bookmarkStart w:id="0" w:name="法定代表人或其委托代理人封面"/>
      <w:r>
        <w:rPr>
          <w:rFonts w:eastAsia="黑体"/>
          <w:b/>
          <w:bCs/>
          <w:spacing w:val="36"/>
          <w:sz w:val="44"/>
          <w:szCs w:val="44"/>
          <w:highlight w:val="none"/>
        </w:rPr>
        <w:t>深圳</w:t>
      </w:r>
      <w:r>
        <w:rPr>
          <w:rFonts w:hint="eastAsia" w:eastAsia="黑体"/>
          <w:b/>
          <w:bCs/>
          <w:spacing w:val="36"/>
          <w:sz w:val="44"/>
          <w:szCs w:val="44"/>
          <w:highlight w:val="none"/>
        </w:rPr>
        <w:t>市地铁集团</w:t>
      </w:r>
      <w:r>
        <w:rPr>
          <w:rFonts w:eastAsia="黑体"/>
          <w:b/>
          <w:bCs/>
          <w:spacing w:val="36"/>
          <w:sz w:val="44"/>
          <w:szCs w:val="44"/>
          <w:highlight w:val="none"/>
        </w:rPr>
        <w:t>有限公司</w:t>
      </w:r>
    </w:p>
    <w:p>
      <w:pPr>
        <w:spacing w:line="360" w:lineRule="auto"/>
        <w:jc w:val="center"/>
        <w:rPr>
          <w:rFonts w:ascii="Times New Roman" w:hAnsi="Times New Roman" w:eastAsia="黑体" w:cs="Times New Roman"/>
          <w:b/>
          <w:bCs/>
          <w:spacing w:val="36"/>
          <w:sz w:val="44"/>
          <w:szCs w:val="44"/>
          <w:highlight w:val="none"/>
        </w:rPr>
      </w:pPr>
      <w:r>
        <w:rPr>
          <w:rFonts w:hint="eastAsia" w:ascii="Times New Roman" w:hAnsi="Times New Roman" w:eastAsia="黑体" w:cs="Times New Roman"/>
          <w:b/>
          <w:bCs/>
          <w:spacing w:val="36"/>
          <w:sz w:val="44"/>
          <w:szCs w:val="44"/>
          <w:highlight w:val="none"/>
        </w:rPr>
        <w:t>深铁瑞城系列营销活动与现场包装</w:t>
      </w:r>
      <w:r>
        <w:rPr>
          <w:rFonts w:hint="eastAsia" w:ascii="Times New Roman" w:hAnsi="Times New Roman" w:eastAsia="黑体" w:cs="Times New Roman"/>
          <w:b/>
          <w:bCs/>
          <w:spacing w:val="36"/>
          <w:sz w:val="44"/>
          <w:szCs w:val="44"/>
          <w:highlight w:val="none"/>
          <w:lang w:val="en-US" w:eastAsia="zh-CN"/>
        </w:rPr>
        <w:t>服务</w:t>
      </w:r>
    </w:p>
    <w:p>
      <w:pPr>
        <w:spacing w:line="360" w:lineRule="auto"/>
        <w:jc w:val="center"/>
        <w:rPr>
          <w:rFonts w:ascii="宋体" w:hAnsi="宋体"/>
          <w:b/>
          <w:sz w:val="24"/>
          <w:highlight w:val="none"/>
        </w:rPr>
      </w:pPr>
    </w:p>
    <w:p>
      <w:pPr>
        <w:spacing w:line="360" w:lineRule="auto"/>
        <w:jc w:val="center"/>
        <w:rPr>
          <w:rFonts w:ascii="宋体" w:hAnsi="宋体"/>
          <w:b/>
          <w:bCs/>
          <w:spacing w:val="36"/>
          <w:kern w:val="10"/>
          <w:sz w:val="84"/>
          <w:szCs w:val="84"/>
          <w:highlight w:val="none"/>
        </w:rPr>
      </w:pPr>
      <w:r>
        <w:rPr>
          <w:rFonts w:hint="eastAsia" w:ascii="宋体" w:hAnsi="宋体"/>
          <w:b/>
          <w:bCs/>
          <w:spacing w:val="36"/>
          <w:kern w:val="10"/>
          <w:sz w:val="84"/>
          <w:szCs w:val="84"/>
          <w:highlight w:val="none"/>
        </w:rPr>
        <w:t>比选文件</w:t>
      </w:r>
    </w:p>
    <w:p>
      <w:pPr>
        <w:spacing w:line="360" w:lineRule="auto"/>
        <w:jc w:val="center"/>
        <w:rPr>
          <w:rFonts w:ascii="宋体" w:hAnsi="宋体"/>
          <w:b/>
          <w:sz w:val="36"/>
          <w:highlight w:val="none"/>
        </w:rPr>
      </w:pPr>
    </w:p>
    <w:p>
      <w:pPr>
        <w:pStyle w:val="24"/>
        <w:spacing w:line="360" w:lineRule="auto"/>
        <w:jc w:val="center"/>
        <w:rPr>
          <w:rFonts w:hAnsi="宋体"/>
          <w:sz w:val="23"/>
          <w:szCs w:val="23"/>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pacing w:line="360" w:lineRule="auto"/>
        <w:jc w:val="center"/>
        <w:rPr>
          <w:rFonts w:hAnsi="宋体"/>
          <w:b/>
          <w:sz w:val="32"/>
          <w:szCs w:val="32"/>
          <w:highlight w:val="none"/>
        </w:rPr>
      </w:pPr>
    </w:p>
    <w:p>
      <w:pPr>
        <w:pStyle w:val="24"/>
        <w:snapToGrid w:val="0"/>
        <w:spacing w:line="360" w:lineRule="auto"/>
        <w:ind w:firstLine="1259" w:firstLineChars="273"/>
        <w:rPr>
          <w:rFonts w:hAnsi="宋体"/>
          <w:b/>
          <w:bCs/>
          <w:spacing w:val="70"/>
          <w:sz w:val="32"/>
          <w:szCs w:val="32"/>
          <w:highlight w:val="none"/>
        </w:rPr>
      </w:pPr>
    </w:p>
    <w:p>
      <w:pPr>
        <w:pStyle w:val="24"/>
        <w:snapToGrid w:val="0"/>
        <w:spacing w:line="360" w:lineRule="auto"/>
        <w:ind w:firstLine="1259" w:firstLineChars="273"/>
        <w:rPr>
          <w:rFonts w:hAnsi="宋体"/>
          <w:b/>
          <w:bCs/>
          <w:spacing w:val="70"/>
          <w:sz w:val="32"/>
          <w:szCs w:val="32"/>
          <w:highlight w:val="none"/>
        </w:rPr>
      </w:pPr>
    </w:p>
    <w:p>
      <w:pPr>
        <w:pStyle w:val="24"/>
        <w:snapToGrid w:val="0"/>
        <w:spacing w:line="360" w:lineRule="auto"/>
        <w:ind w:firstLine="849" w:firstLineChars="235"/>
        <w:rPr>
          <w:rFonts w:hAnsi="宋体"/>
          <w:b/>
          <w:bCs/>
          <w:sz w:val="36"/>
          <w:szCs w:val="36"/>
          <w:highlight w:val="none"/>
          <w:u w:val="single"/>
        </w:rPr>
      </w:pPr>
      <w:r>
        <w:rPr>
          <w:rFonts w:hint="eastAsia" w:hAnsi="宋体"/>
          <w:b/>
          <w:bCs/>
          <w:sz w:val="36"/>
          <w:szCs w:val="36"/>
          <w:highlight w:val="none"/>
        </w:rPr>
        <w:t>比 选 人：</w:t>
      </w:r>
      <w:r>
        <w:rPr>
          <w:rFonts w:hAnsi="宋体"/>
          <w:b/>
          <w:bCs/>
          <w:sz w:val="36"/>
          <w:szCs w:val="36"/>
          <w:highlight w:val="none"/>
          <w:u w:val="single"/>
        </w:rPr>
        <w:t>深圳</w:t>
      </w:r>
      <w:r>
        <w:rPr>
          <w:rFonts w:hint="eastAsia" w:hAnsi="宋体"/>
          <w:b/>
          <w:bCs/>
          <w:sz w:val="36"/>
          <w:szCs w:val="36"/>
          <w:highlight w:val="none"/>
          <w:u w:val="single"/>
        </w:rPr>
        <w:t>市地铁集团</w:t>
      </w:r>
      <w:r>
        <w:rPr>
          <w:rFonts w:hAnsi="宋体"/>
          <w:b/>
          <w:bCs/>
          <w:sz w:val="36"/>
          <w:szCs w:val="36"/>
          <w:highlight w:val="none"/>
          <w:u w:val="single"/>
        </w:rPr>
        <w:t>有限公司</w:t>
      </w:r>
    </w:p>
    <w:p>
      <w:pPr>
        <w:pStyle w:val="24"/>
        <w:snapToGrid w:val="0"/>
        <w:spacing w:line="360" w:lineRule="auto"/>
        <w:ind w:firstLine="790" w:firstLineChars="246"/>
        <w:rPr>
          <w:rFonts w:hAnsi="宋体"/>
          <w:b/>
          <w:bCs/>
          <w:sz w:val="32"/>
          <w:szCs w:val="32"/>
          <w:highlight w:val="none"/>
          <w:u w:val="single"/>
        </w:rPr>
      </w:pPr>
      <w:r>
        <w:rPr>
          <w:rFonts w:hint="eastAsia" w:hAnsi="宋体"/>
          <w:b/>
          <w:bCs/>
          <w:sz w:val="32"/>
          <w:szCs w:val="32"/>
          <w:highlight w:val="none"/>
        </w:rPr>
        <w:t>法定代表人：</w:t>
      </w:r>
      <w:r>
        <w:rPr>
          <w:rFonts w:hint="eastAsia" w:hAnsi="宋体"/>
          <w:b/>
          <w:bCs/>
          <w:sz w:val="32"/>
          <w:szCs w:val="32"/>
          <w:highlight w:val="none"/>
          <w:u w:val="single"/>
        </w:rPr>
        <w:t xml:space="preserve">     </w:t>
      </w:r>
      <w:r>
        <w:rPr>
          <w:rFonts w:hAnsi="宋体"/>
          <w:b/>
          <w:bCs/>
          <w:sz w:val="32"/>
          <w:szCs w:val="32"/>
          <w:highlight w:val="none"/>
          <w:u w:val="single"/>
        </w:rPr>
        <w:t xml:space="preserve">   </w:t>
      </w:r>
      <w:r>
        <w:rPr>
          <w:rFonts w:hint="eastAsia" w:hAnsi="宋体"/>
          <w:b/>
          <w:bCs/>
          <w:sz w:val="32"/>
          <w:szCs w:val="32"/>
          <w:highlight w:val="none"/>
          <w:u w:val="single"/>
        </w:rPr>
        <w:t xml:space="preserve">辛杰       </w:t>
      </w:r>
      <w:r>
        <w:rPr>
          <w:rFonts w:hAnsi="宋体"/>
          <w:b/>
          <w:bCs/>
          <w:sz w:val="32"/>
          <w:szCs w:val="32"/>
          <w:highlight w:val="none"/>
          <w:u w:val="single"/>
        </w:rPr>
        <w:t xml:space="preserve">   </w:t>
      </w:r>
    </w:p>
    <w:p>
      <w:pPr>
        <w:spacing w:line="360" w:lineRule="auto"/>
        <w:jc w:val="center"/>
        <w:rPr>
          <w:rFonts w:ascii="宋体" w:hAnsi="宋体"/>
          <w:b/>
          <w:bCs/>
          <w:sz w:val="32"/>
          <w:szCs w:val="32"/>
          <w:highlight w:val="none"/>
        </w:rPr>
      </w:pPr>
    </w:p>
    <w:p>
      <w:pPr>
        <w:spacing w:line="360" w:lineRule="auto"/>
        <w:jc w:val="center"/>
        <w:rPr>
          <w:rFonts w:hint="eastAsia" w:ascii="宋体" w:hAnsi="宋体"/>
          <w:b/>
          <w:sz w:val="36"/>
          <w:highlight w:val="none"/>
        </w:rPr>
      </w:pPr>
      <w:r>
        <w:rPr>
          <w:rFonts w:hint="eastAsia" w:ascii="宋体" w:hAnsi="宋体"/>
          <w:b/>
          <w:bCs/>
          <w:sz w:val="32"/>
          <w:szCs w:val="32"/>
          <w:highlight w:val="none"/>
        </w:rPr>
        <w:t>二〇二一年</w:t>
      </w:r>
      <w:r>
        <w:rPr>
          <w:rFonts w:hint="eastAsia" w:ascii="宋体" w:hAnsi="宋体"/>
          <w:b/>
          <w:bCs/>
          <w:sz w:val="32"/>
          <w:szCs w:val="32"/>
          <w:highlight w:val="none"/>
          <w:lang w:val="en-US" w:eastAsia="zh-CN"/>
        </w:rPr>
        <w:t>九</w:t>
      </w:r>
      <w:r>
        <w:rPr>
          <w:rFonts w:hint="eastAsia" w:ascii="宋体" w:hAnsi="宋体"/>
          <w:b/>
          <w:bCs/>
          <w:sz w:val="32"/>
          <w:szCs w:val="32"/>
          <w:highlight w:val="none"/>
        </w:rPr>
        <w:t>月</w:t>
      </w:r>
      <w:bookmarkStart w:id="1" w:name="_Toc188623169"/>
      <w:bookmarkStart w:id="2" w:name="_Toc389620163"/>
      <w:bookmarkStart w:id="3" w:name="_Toc385992323"/>
      <w:bookmarkStart w:id="4" w:name="_Toc497549383"/>
      <w:r>
        <w:rPr>
          <w:rFonts w:ascii="宋体" w:hAnsi="宋体"/>
          <w:b/>
          <w:sz w:val="36"/>
          <w:highlight w:val="none"/>
        </w:rPr>
        <w:t xml:space="preserve"> </w:t>
      </w:r>
      <w:bookmarkEnd w:id="0"/>
      <w:bookmarkEnd w:id="1"/>
      <w:bookmarkStart w:id="5" w:name="_Toc188623172"/>
    </w:p>
    <w:p>
      <w:pPr>
        <w:pStyle w:val="195"/>
        <w:spacing w:line="360" w:lineRule="auto"/>
        <w:jc w:val="center"/>
        <w:rPr>
          <w:rFonts w:ascii="宋体" w:hAnsi="宋体"/>
          <w:color w:val="000000"/>
          <w:highlight w:val="none"/>
        </w:rPr>
      </w:pPr>
      <w:r>
        <w:rPr>
          <w:rFonts w:ascii="宋体" w:hAnsi="宋体"/>
          <w:color w:val="000000"/>
          <w:highlight w:val="none"/>
          <w:lang w:val="zh-CN"/>
        </w:rPr>
        <w:t>目录</w:t>
      </w:r>
    </w:p>
    <w:p>
      <w:pPr>
        <w:pStyle w:val="32"/>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rFonts w:ascii="宋体" w:hAnsi="宋体"/>
          <w:bCs/>
          <w:highlight w:val="none"/>
          <w:lang w:val="zh-CN"/>
        </w:rPr>
        <w:fldChar w:fldCharType="begin"/>
      </w:r>
      <w:r>
        <w:rPr>
          <w:rFonts w:ascii="宋体" w:hAnsi="宋体"/>
          <w:bCs/>
          <w:highlight w:val="none"/>
          <w:lang w:val="zh-CN"/>
        </w:rPr>
        <w:instrText xml:space="preserve"> TOC \o "1-3" \h \z \u </w:instrText>
      </w:r>
      <w:r>
        <w:rPr>
          <w:rFonts w:ascii="宋体" w:hAnsi="宋体"/>
          <w:bCs/>
          <w:highlight w:val="none"/>
          <w:lang w:val="zh-CN"/>
        </w:rPr>
        <w:fldChar w:fldCharType="separate"/>
      </w:r>
      <w:r>
        <w:rPr>
          <w:rStyle w:val="53"/>
          <w:highlight w:val="none"/>
        </w:rPr>
        <w:fldChar w:fldCharType="begin"/>
      </w:r>
      <w:r>
        <w:rPr>
          <w:rStyle w:val="53"/>
          <w:highlight w:val="none"/>
        </w:rPr>
        <w:instrText xml:space="preserve"> </w:instrText>
      </w:r>
      <w:r>
        <w:rPr>
          <w:highlight w:val="none"/>
        </w:rPr>
        <w:instrText xml:space="preserve">HYPERLINK \l "_Toc57731942"</w:instrText>
      </w:r>
      <w:r>
        <w:rPr>
          <w:rStyle w:val="53"/>
          <w:highlight w:val="none"/>
        </w:rPr>
        <w:instrText xml:space="preserve"> </w:instrText>
      </w:r>
      <w:r>
        <w:rPr>
          <w:rStyle w:val="53"/>
          <w:highlight w:val="none"/>
        </w:rPr>
        <w:fldChar w:fldCharType="separate"/>
      </w:r>
      <w:r>
        <w:rPr>
          <w:rStyle w:val="53"/>
          <w:rFonts w:hint="eastAsia" w:ascii="宋体" w:hAnsi="宋体"/>
          <w:highlight w:val="none"/>
        </w:rPr>
        <w:t>致参选人</w:t>
      </w:r>
      <w:r>
        <w:rPr>
          <w:highlight w:val="none"/>
        </w:rPr>
        <w:tab/>
      </w:r>
      <w:r>
        <w:rPr>
          <w:highlight w:val="none"/>
        </w:rPr>
        <w:fldChar w:fldCharType="begin"/>
      </w:r>
      <w:r>
        <w:rPr>
          <w:highlight w:val="none"/>
        </w:rPr>
        <w:instrText xml:space="preserve"> PAGEREF _Toc57731942 \h </w:instrText>
      </w:r>
      <w:r>
        <w:rPr>
          <w:highlight w:val="none"/>
        </w:rPr>
        <w:fldChar w:fldCharType="separate"/>
      </w:r>
      <w:r>
        <w:rPr>
          <w:highlight w:val="none"/>
        </w:rPr>
        <w:t>4</w:t>
      </w:r>
      <w:r>
        <w:rPr>
          <w:highlight w:val="none"/>
        </w:rPr>
        <w:fldChar w:fldCharType="end"/>
      </w:r>
      <w:r>
        <w:rPr>
          <w:rStyle w:val="53"/>
          <w:highlight w:val="none"/>
        </w:rPr>
        <w:fldChar w:fldCharType="end"/>
      </w:r>
    </w:p>
    <w:p>
      <w:pPr>
        <w:pStyle w:val="32"/>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"_Toc57731943"</w:instrText>
      </w:r>
      <w:r>
        <w:rPr>
          <w:rStyle w:val="53"/>
          <w:highlight w:val="none"/>
        </w:rPr>
        <w:instrText xml:space="preserve"> </w:instrText>
      </w:r>
      <w:r>
        <w:rPr>
          <w:rStyle w:val="53"/>
          <w:highlight w:val="none"/>
        </w:rPr>
        <w:fldChar w:fldCharType="separate"/>
      </w:r>
      <w:r>
        <w:rPr>
          <w:rStyle w:val="53"/>
          <w:rFonts w:hint="eastAsia" w:ascii="宋体" w:hAnsi="宋体"/>
          <w:highlight w:val="none"/>
        </w:rPr>
        <w:t>参选文件无效和废标的情形摘要</w:t>
      </w:r>
      <w:r>
        <w:rPr>
          <w:highlight w:val="none"/>
        </w:rPr>
        <w:tab/>
      </w:r>
      <w:r>
        <w:rPr>
          <w:highlight w:val="none"/>
        </w:rPr>
        <w:fldChar w:fldCharType="begin"/>
      </w:r>
      <w:r>
        <w:rPr>
          <w:highlight w:val="none"/>
        </w:rPr>
        <w:instrText xml:space="preserve"> PAGEREF _Toc57731943 \h </w:instrText>
      </w:r>
      <w:r>
        <w:rPr>
          <w:highlight w:val="none"/>
        </w:rPr>
        <w:fldChar w:fldCharType="separate"/>
      </w:r>
      <w:r>
        <w:rPr>
          <w:highlight w:val="none"/>
        </w:rPr>
        <w:t>4</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"_Toc57731944"</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比选公告</w:t>
      </w:r>
      <w:bookmarkStart w:id="6" w:name="_Hlt57732431"/>
      <w:r>
        <w:rPr>
          <w:highlight w:val="none"/>
        </w:rPr>
        <w:tab/>
      </w:r>
      <w:bookmarkEnd w:id="6"/>
      <w:r>
        <w:rPr>
          <w:highlight w:val="none"/>
        </w:rPr>
        <w:fldChar w:fldCharType="begin"/>
      </w:r>
      <w:r>
        <w:rPr>
          <w:highlight w:val="none"/>
        </w:rPr>
        <w:instrText xml:space="preserve"> PAGEREF _Toc57731944 \h </w:instrText>
      </w:r>
      <w:r>
        <w:rPr>
          <w:highlight w:val="none"/>
        </w:rPr>
        <w:fldChar w:fldCharType="separate"/>
      </w:r>
      <w:r>
        <w:rPr>
          <w:highlight w:val="none"/>
        </w:rPr>
        <w:t>6</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"_Toc57731945"</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一、项目名称</w:t>
      </w:r>
      <w:r>
        <w:rPr>
          <w:highlight w:val="none"/>
        </w:rPr>
        <w:tab/>
      </w:r>
      <w:r>
        <w:rPr>
          <w:highlight w:val="none"/>
        </w:rPr>
        <w:fldChar w:fldCharType="begin"/>
      </w:r>
      <w:r>
        <w:rPr>
          <w:highlight w:val="none"/>
        </w:rPr>
        <w:instrText xml:space="preserve"> PAGEREF _Toc57731945 \h </w:instrText>
      </w:r>
      <w:r>
        <w:rPr>
          <w:highlight w:val="none"/>
        </w:rPr>
        <w:fldChar w:fldCharType="separate"/>
      </w:r>
      <w:r>
        <w:rPr>
          <w:highlight w:val="none"/>
        </w:rPr>
        <w:t>6</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"_Toc57731946"</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二、比选内容</w:t>
      </w:r>
      <w:r>
        <w:rPr>
          <w:highlight w:val="none"/>
        </w:rPr>
        <w:tab/>
      </w:r>
      <w:r>
        <w:rPr>
          <w:highlight w:val="none"/>
        </w:rPr>
        <w:fldChar w:fldCharType="begin"/>
      </w:r>
      <w:r>
        <w:rPr>
          <w:highlight w:val="none"/>
        </w:rPr>
        <w:instrText xml:space="preserve"> PAGEREF _Toc57731946 \h </w:instrText>
      </w:r>
      <w:r>
        <w:rPr>
          <w:highlight w:val="none"/>
        </w:rPr>
        <w:fldChar w:fldCharType="separate"/>
      </w:r>
      <w:r>
        <w:rPr>
          <w:highlight w:val="none"/>
        </w:rPr>
        <w:t>6</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"_Toc57731947"</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三、比选控制价格</w:t>
      </w:r>
      <w:r>
        <w:rPr>
          <w:highlight w:val="none"/>
        </w:rPr>
        <w:tab/>
      </w:r>
      <w:r>
        <w:rPr>
          <w:highlight w:val="none"/>
        </w:rPr>
        <w:fldChar w:fldCharType="begin"/>
      </w:r>
      <w:r>
        <w:rPr>
          <w:highlight w:val="none"/>
        </w:rPr>
        <w:instrText xml:space="preserve"> PAGEREF _Toc57731947 \h </w:instrText>
      </w:r>
      <w:r>
        <w:rPr>
          <w:highlight w:val="none"/>
        </w:rPr>
        <w:fldChar w:fldCharType="separate"/>
      </w:r>
      <w:r>
        <w:rPr>
          <w:highlight w:val="none"/>
        </w:rPr>
        <w:t>6</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"_Toc57731948"</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四、参选人资格要求</w:t>
      </w:r>
      <w:r>
        <w:rPr>
          <w:highlight w:val="none"/>
        </w:rPr>
        <w:tab/>
      </w:r>
      <w:r>
        <w:rPr>
          <w:highlight w:val="none"/>
        </w:rPr>
        <w:fldChar w:fldCharType="begin"/>
      </w:r>
      <w:r>
        <w:rPr>
          <w:highlight w:val="none"/>
        </w:rPr>
        <w:instrText xml:space="preserve"> PAGEREF _Toc57731948 \h </w:instrText>
      </w:r>
      <w:r>
        <w:rPr>
          <w:highlight w:val="none"/>
        </w:rPr>
        <w:fldChar w:fldCharType="separate"/>
      </w:r>
      <w:r>
        <w:rPr>
          <w:highlight w:val="none"/>
        </w:rPr>
        <w:t>7</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"_Toc57731949"</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五、参选时间、地点</w:t>
      </w:r>
      <w:r>
        <w:rPr>
          <w:highlight w:val="none"/>
        </w:rPr>
        <w:tab/>
      </w:r>
      <w:r>
        <w:rPr>
          <w:highlight w:val="none"/>
        </w:rPr>
        <w:fldChar w:fldCharType="begin"/>
      </w:r>
      <w:r>
        <w:rPr>
          <w:highlight w:val="none"/>
        </w:rPr>
        <w:instrText xml:space="preserve"> PAGEREF _Toc57731949 \h </w:instrText>
      </w:r>
      <w:r>
        <w:rPr>
          <w:highlight w:val="none"/>
        </w:rPr>
        <w:fldChar w:fldCharType="separate"/>
      </w:r>
      <w:r>
        <w:rPr>
          <w:highlight w:val="none"/>
        </w:rPr>
        <w:t>7</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"_Toc57731950"</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六、参选所需材料</w:t>
      </w:r>
      <w:r>
        <w:rPr>
          <w:highlight w:val="none"/>
        </w:rPr>
        <w:tab/>
      </w:r>
      <w:r>
        <w:rPr>
          <w:highlight w:val="none"/>
        </w:rPr>
        <w:fldChar w:fldCharType="begin"/>
      </w:r>
      <w:r>
        <w:rPr>
          <w:highlight w:val="none"/>
        </w:rPr>
        <w:instrText xml:space="preserve"> PAGEREF _Toc57731950 \h </w:instrText>
      </w:r>
      <w:r>
        <w:rPr>
          <w:highlight w:val="none"/>
        </w:rPr>
        <w:fldChar w:fldCharType="separate"/>
      </w:r>
      <w:r>
        <w:rPr>
          <w:highlight w:val="none"/>
        </w:rPr>
        <w:t>8</w:t>
      </w:r>
      <w:r>
        <w:rPr>
          <w:highlight w:val="none"/>
        </w:rPr>
        <w:fldChar w:fldCharType="end"/>
      </w:r>
      <w:r>
        <w:rPr>
          <w:rStyle w:val="53"/>
          <w:highlight w:val="none"/>
        </w:rPr>
        <w:fldChar w:fldCharType="end"/>
      </w:r>
    </w:p>
    <w:p>
      <w:pPr>
        <w:pStyle w:val="32"/>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"_Toc57731951"</w:instrText>
      </w:r>
      <w:r>
        <w:rPr>
          <w:rStyle w:val="53"/>
          <w:highlight w:val="none"/>
        </w:rPr>
        <w:instrText xml:space="preserve"> </w:instrText>
      </w:r>
      <w:r>
        <w:rPr>
          <w:rStyle w:val="53"/>
          <w:highlight w:val="none"/>
        </w:rPr>
        <w:fldChar w:fldCharType="separate"/>
      </w:r>
      <w:r>
        <w:rPr>
          <w:rStyle w:val="53"/>
          <w:rFonts w:hint="eastAsia" w:ascii="宋体" w:hAnsi="宋体"/>
          <w:highlight w:val="none"/>
        </w:rPr>
        <w:t>第一篇</w:t>
      </w:r>
      <w:r>
        <w:rPr>
          <w:rStyle w:val="53"/>
          <w:rFonts w:ascii="宋体" w:hAnsi="宋体"/>
          <w:highlight w:val="none"/>
        </w:rPr>
        <w:t xml:space="preserve">  </w:t>
      </w:r>
      <w:r>
        <w:rPr>
          <w:rStyle w:val="53"/>
          <w:rFonts w:hint="eastAsia" w:ascii="宋体" w:hAnsi="宋体"/>
          <w:highlight w:val="none"/>
        </w:rPr>
        <w:t>参选须知</w:t>
      </w:r>
      <w:r>
        <w:rPr>
          <w:highlight w:val="none"/>
        </w:rPr>
        <w:tab/>
      </w:r>
      <w:r>
        <w:rPr>
          <w:highlight w:val="none"/>
        </w:rPr>
        <w:fldChar w:fldCharType="begin"/>
      </w:r>
      <w:r>
        <w:rPr>
          <w:highlight w:val="none"/>
        </w:rPr>
        <w:instrText xml:space="preserve"> PAGEREF _Toc57731951 \h </w:instrText>
      </w:r>
      <w:r>
        <w:rPr>
          <w:highlight w:val="none"/>
        </w:rPr>
        <w:fldChar w:fldCharType="separate"/>
      </w:r>
      <w:r>
        <w:rPr>
          <w:highlight w:val="none"/>
        </w:rPr>
        <w:t>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"_Toc57731952"</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第一章</w:t>
      </w:r>
      <w:r>
        <w:rPr>
          <w:rStyle w:val="53"/>
          <w:rFonts w:ascii="宋体" w:hAnsi="宋体"/>
          <w:kern w:val="44"/>
          <w:highlight w:val="none"/>
        </w:rPr>
        <w:t xml:space="preserve"> </w:t>
      </w:r>
      <w:r>
        <w:rPr>
          <w:rStyle w:val="53"/>
          <w:rFonts w:hint="eastAsia" w:ascii="宋体" w:hAnsi="宋体"/>
          <w:kern w:val="44"/>
          <w:highlight w:val="none"/>
        </w:rPr>
        <w:t>总则</w:t>
      </w:r>
      <w:r>
        <w:rPr>
          <w:highlight w:val="none"/>
        </w:rPr>
        <w:tab/>
      </w:r>
      <w:r>
        <w:rPr>
          <w:highlight w:val="none"/>
        </w:rPr>
        <w:fldChar w:fldCharType="begin"/>
      </w:r>
      <w:r>
        <w:rPr>
          <w:highlight w:val="none"/>
        </w:rPr>
        <w:instrText xml:space="preserve"> PAGEREF _Toc57731952 \h </w:instrText>
      </w:r>
      <w:r>
        <w:rPr>
          <w:highlight w:val="none"/>
        </w:rPr>
        <w:fldChar w:fldCharType="separate"/>
      </w:r>
      <w:r>
        <w:rPr>
          <w:highlight w:val="none"/>
        </w:rPr>
        <w:t>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"_Toc57731953"</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一、项目概况</w:t>
      </w:r>
      <w:r>
        <w:rPr>
          <w:highlight w:val="none"/>
        </w:rPr>
        <w:tab/>
      </w:r>
      <w:r>
        <w:rPr>
          <w:highlight w:val="none"/>
        </w:rPr>
        <w:fldChar w:fldCharType="begin"/>
      </w:r>
      <w:r>
        <w:rPr>
          <w:highlight w:val="none"/>
        </w:rPr>
        <w:instrText xml:space="preserve"> PAGEREF _Toc57731953 \h </w:instrText>
      </w:r>
      <w:r>
        <w:rPr>
          <w:highlight w:val="none"/>
        </w:rPr>
        <w:fldChar w:fldCharType="separate"/>
      </w:r>
      <w:r>
        <w:rPr>
          <w:highlight w:val="none"/>
        </w:rPr>
        <w:t>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"_Toc57731954"</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二、服务内容</w:t>
      </w:r>
      <w:r>
        <w:rPr>
          <w:highlight w:val="none"/>
        </w:rPr>
        <w:tab/>
      </w:r>
      <w:r>
        <w:rPr>
          <w:highlight w:val="none"/>
        </w:rPr>
        <w:fldChar w:fldCharType="begin"/>
      </w:r>
      <w:r>
        <w:rPr>
          <w:highlight w:val="none"/>
        </w:rPr>
        <w:instrText xml:space="preserve"> PAGEREF _Toc57731954 \h </w:instrText>
      </w:r>
      <w:r>
        <w:rPr>
          <w:highlight w:val="none"/>
        </w:rPr>
        <w:fldChar w:fldCharType="separate"/>
      </w:r>
      <w:r>
        <w:rPr>
          <w:highlight w:val="none"/>
        </w:rPr>
        <w:t>9</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"_Toc57731955"</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三、工作方式及时间要求</w:t>
      </w:r>
      <w:r>
        <w:rPr>
          <w:highlight w:val="none"/>
        </w:rPr>
        <w:tab/>
      </w:r>
      <w:r>
        <w:rPr>
          <w:highlight w:val="none"/>
        </w:rPr>
        <w:fldChar w:fldCharType="begin"/>
      </w:r>
      <w:r>
        <w:rPr>
          <w:highlight w:val="none"/>
        </w:rPr>
        <w:instrText xml:space="preserve"> PAGEREF _Toc57731955 \h </w:instrText>
      </w:r>
      <w:r>
        <w:rPr>
          <w:highlight w:val="none"/>
        </w:rPr>
        <w:fldChar w:fldCharType="separate"/>
      </w:r>
      <w:r>
        <w:rPr>
          <w:highlight w:val="none"/>
        </w:rPr>
        <w:t>9</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"_Toc57731956"</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四、选人资格条件</w:t>
      </w:r>
      <w:r>
        <w:rPr>
          <w:highlight w:val="none"/>
        </w:rPr>
        <w:tab/>
      </w:r>
      <w:r>
        <w:rPr>
          <w:highlight w:val="none"/>
        </w:rPr>
        <w:fldChar w:fldCharType="begin"/>
      </w:r>
      <w:r>
        <w:rPr>
          <w:highlight w:val="none"/>
        </w:rPr>
        <w:instrText xml:space="preserve"> PAGEREF _Toc57731956 \h </w:instrText>
      </w:r>
      <w:r>
        <w:rPr>
          <w:highlight w:val="none"/>
        </w:rPr>
        <w:fldChar w:fldCharType="separate"/>
      </w:r>
      <w:r>
        <w:rPr>
          <w:highlight w:val="none"/>
        </w:rPr>
        <w:t>10</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"_Toc57731957"</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五、比选、参选的时间安排</w:t>
      </w:r>
      <w:r>
        <w:rPr>
          <w:highlight w:val="none"/>
        </w:rPr>
        <w:tab/>
      </w:r>
      <w:r>
        <w:rPr>
          <w:highlight w:val="none"/>
        </w:rPr>
        <w:fldChar w:fldCharType="begin"/>
      </w:r>
      <w:r>
        <w:rPr>
          <w:highlight w:val="none"/>
        </w:rPr>
        <w:instrText xml:space="preserve"> PAGEREF _Toc57731957 \h </w:instrText>
      </w:r>
      <w:r>
        <w:rPr>
          <w:highlight w:val="none"/>
        </w:rPr>
        <w:fldChar w:fldCharType="separate"/>
      </w:r>
      <w:r>
        <w:rPr>
          <w:highlight w:val="none"/>
        </w:rPr>
        <w:t>10</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"_Toc57731958"</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六、参选费用</w:t>
      </w:r>
      <w:r>
        <w:rPr>
          <w:highlight w:val="none"/>
        </w:rPr>
        <w:tab/>
      </w:r>
      <w:r>
        <w:rPr>
          <w:highlight w:val="none"/>
        </w:rPr>
        <w:fldChar w:fldCharType="begin"/>
      </w:r>
      <w:r>
        <w:rPr>
          <w:highlight w:val="none"/>
        </w:rPr>
        <w:instrText xml:space="preserve"> PAGEREF _Toc57731958 \h </w:instrText>
      </w:r>
      <w:r>
        <w:rPr>
          <w:highlight w:val="none"/>
        </w:rPr>
        <w:fldChar w:fldCharType="separate"/>
      </w:r>
      <w:r>
        <w:rPr>
          <w:highlight w:val="none"/>
        </w:rPr>
        <w:t>10</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"_Toc57731959"</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七、参选报价限价</w:t>
      </w:r>
      <w:r>
        <w:rPr>
          <w:highlight w:val="none"/>
        </w:rPr>
        <w:tab/>
      </w:r>
      <w:r>
        <w:rPr>
          <w:highlight w:val="none"/>
        </w:rPr>
        <w:fldChar w:fldCharType="begin"/>
      </w:r>
      <w:r>
        <w:rPr>
          <w:highlight w:val="none"/>
        </w:rPr>
        <w:instrText xml:space="preserve"> PAGEREF _Toc57731959 \h </w:instrText>
      </w:r>
      <w:r>
        <w:rPr>
          <w:highlight w:val="none"/>
        </w:rPr>
        <w:fldChar w:fldCharType="separate"/>
      </w:r>
      <w:r>
        <w:rPr>
          <w:highlight w:val="none"/>
        </w:rPr>
        <w:t>11</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"_Toc57731960"</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第二章</w:t>
      </w:r>
      <w:r>
        <w:rPr>
          <w:rStyle w:val="53"/>
          <w:rFonts w:ascii="宋体" w:hAnsi="宋体"/>
          <w:kern w:val="44"/>
          <w:highlight w:val="none"/>
        </w:rPr>
        <w:t xml:space="preserve">  </w:t>
      </w:r>
      <w:r>
        <w:rPr>
          <w:rStyle w:val="53"/>
          <w:rFonts w:hint="eastAsia" w:ascii="宋体" w:hAnsi="宋体"/>
          <w:kern w:val="44"/>
          <w:highlight w:val="none"/>
        </w:rPr>
        <w:t>比选文件</w:t>
      </w:r>
      <w:r>
        <w:rPr>
          <w:highlight w:val="none"/>
        </w:rPr>
        <w:tab/>
      </w:r>
      <w:r>
        <w:rPr>
          <w:highlight w:val="none"/>
        </w:rPr>
        <w:fldChar w:fldCharType="begin"/>
      </w:r>
      <w:r>
        <w:rPr>
          <w:highlight w:val="none"/>
        </w:rPr>
        <w:instrText xml:space="preserve"> PAGEREF _Toc57731960 \h </w:instrText>
      </w:r>
      <w:r>
        <w:rPr>
          <w:highlight w:val="none"/>
        </w:rPr>
        <w:fldChar w:fldCharType="separate"/>
      </w:r>
      <w:r>
        <w:rPr>
          <w:highlight w:val="none"/>
        </w:rPr>
        <w:t>11</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"_Toc57731961"</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一、比选文件的构成</w:t>
      </w:r>
      <w:r>
        <w:rPr>
          <w:highlight w:val="none"/>
        </w:rPr>
        <w:tab/>
      </w:r>
      <w:r>
        <w:rPr>
          <w:highlight w:val="none"/>
        </w:rPr>
        <w:fldChar w:fldCharType="begin"/>
      </w:r>
      <w:r>
        <w:rPr>
          <w:highlight w:val="none"/>
        </w:rPr>
        <w:instrText xml:space="preserve"> PAGEREF _Toc57731961 \h </w:instrText>
      </w:r>
      <w:r>
        <w:rPr>
          <w:highlight w:val="none"/>
        </w:rPr>
        <w:fldChar w:fldCharType="separate"/>
      </w:r>
      <w:r>
        <w:rPr>
          <w:highlight w:val="none"/>
        </w:rPr>
        <w:t>11</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"_Toc57731962"</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二、比选文件的补遗、澄清、修改</w:t>
      </w:r>
      <w:r>
        <w:rPr>
          <w:highlight w:val="none"/>
        </w:rPr>
        <w:tab/>
      </w:r>
      <w:r>
        <w:rPr>
          <w:highlight w:val="none"/>
        </w:rPr>
        <w:fldChar w:fldCharType="begin"/>
      </w:r>
      <w:r>
        <w:rPr>
          <w:highlight w:val="none"/>
        </w:rPr>
        <w:instrText xml:space="preserve"> PAGEREF _Toc57731962 \h </w:instrText>
      </w:r>
      <w:r>
        <w:rPr>
          <w:highlight w:val="none"/>
        </w:rPr>
        <w:fldChar w:fldCharType="separate"/>
      </w:r>
      <w:r>
        <w:rPr>
          <w:highlight w:val="none"/>
        </w:rPr>
        <w:t>11</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"_Toc57731963"</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第三章</w:t>
      </w:r>
      <w:r>
        <w:rPr>
          <w:rStyle w:val="53"/>
          <w:rFonts w:ascii="宋体" w:hAnsi="宋体"/>
          <w:kern w:val="44"/>
          <w:highlight w:val="none"/>
        </w:rPr>
        <w:t xml:space="preserve">  </w:t>
      </w:r>
      <w:r>
        <w:rPr>
          <w:rStyle w:val="53"/>
          <w:rFonts w:hint="eastAsia" w:ascii="宋体" w:hAnsi="宋体"/>
          <w:kern w:val="44"/>
          <w:highlight w:val="none"/>
        </w:rPr>
        <w:t>参选文件的编写</w:t>
      </w:r>
      <w:r>
        <w:rPr>
          <w:highlight w:val="none"/>
        </w:rPr>
        <w:tab/>
      </w:r>
      <w:r>
        <w:rPr>
          <w:highlight w:val="none"/>
        </w:rPr>
        <w:fldChar w:fldCharType="begin"/>
      </w:r>
      <w:r>
        <w:rPr>
          <w:highlight w:val="none"/>
        </w:rPr>
        <w:instrText xml:space="preserve"> PAGEREF _Toc57731963 \h </w:instrText>
      </w:r>
      <w:r>
        <w:rPr>
          <w:highlight w:val="none"/>
        </w:rPr>
        <w:fldChar w:fldCharType="separate"/>
      </w:r>
      <w:r>
        <w:rPr>
          <w:highlight w:val="none"/>
        </w:rPr>
        <w:t>12</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"_Toc57731964"</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一、参选文件的组成及要求</w:t>
      </w:r>
      <w:r>
        <w:rPr>
          <w:highlight w:val="none"/>
        </w:rPr>
        <w:tab/>
      </w:r>
      <w:r>
        <w:rPr>
          <w:highlight w:val="none"/>
        </w:rPr>
        <w:fldChar w:fldCharType="begin"/>
      </w:r>
      <w:r>
        <w:rPr>
          <w:highlight w:val="none"/>
        </w:rPr>
        <w:instrText xml:space="preserve"> PAGEREF _Toc57731964 \h </w:instrText>
      </w:r>
      <w:r>
        <w:rPr>
          <w:highlight w:val="none"/>
        </w:rPr>
        <w:fldChar w:fldCharType="separate"/>
      </w:r>
      <w:r>
        <w:rPr>
          <w:highlight w:val="none"/>
        </w:rPr>
        <w:t>12</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"_Toc57731965"</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二、参选文件内容编写要求</w:t>
      </w:r>
      <w:r>
        <w:rPr>
          <w:highlight w:val="none"/>
        </w:rPr>
        <w:tab/>
      </w:r>
      <w:r>
        <w:rPr>
          <w:highlight w:val="none"/>
        </w:rPr>
        <w:fldChar w:fldCharType="begin"/>
      </w:r>
      <w:r>
        <w:rPr>
          <w:highlight w:val="none"/>
        </w:rPr>
        <w:instrText xml:space="preserve"> PAGEREF _Toc57731965 \h </w:instrText>
      </w:r>
      <w:r>
        <w:rPr>
          <w:highlight w:val="none"/>
        </w:rPr>
        <w:fldChar w:fldCharType="separate"/>
      </w:r>
      <w:r>
        <w:rPr>
          <w:highlight w:val="none"/>
        </w:rPr>
        <w:t>12</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"_Toc57731966"</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三、参选人的承诺</w:t>
      </w:r>
      <w:r>
        <w:rPr>
          <w:highlight w:val="none"/>
        </w:rPr>
        <w:tab/>
      </w:r>
      <w:r>
        <w:rPr>
          <w:highlight w:val="none"/>
        </w:rPr>
        <w:fldChar w:fldCharType="begin"/>
      </w:r>
      <w:r>
        <w:rPr>
          <w:highlight w:val="none"/>
        </w:rPr>
        <w:instrText xml:space="preserve"> PAGEREF _Toc57731966 \h </w:instrText>
      </w:r>
      <w:r>
        <w:rPr>
          <w:highlight w:val="none"/>
        </w:rPr>
        <w:fldChar w:fldCharType="separate"/>
      </w:r>
      <w:r>
        <w:rPr>
          <w:highlight w:val="none"/>
        </w:rPr>
        <w:t>13</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"_Toc57731967"</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第四章</w:t>
      </w:r>
      <w:r>
        <w:rPr>
          <w:rStyle w:val="53"/>
          <w:rFonts w:ascii="宋体" w:hAnsi="宋体"/>
          <w:kern w:val="44"/>
          <w:highlight w:val="none"/>
        </w:rPr>
        <w:t xml:space="preserve"> </w:t>
      </w:r>
      <w:r>
        <w:rPr>
          <w:rStyle w:val="53"/>
          <w:rFonts w:hint="eastAsia" w:ascii="宋体" w:hAnsi="宋体"/>
          <w:kern w:val="44"/>
          <w:highlight w:val="none"/>
        </w:rPr>
        <w:t>参选文件的签章及封装要求</w:t>
      </w:r>
      <w:r>
        <w:rPr>
          <w:highlight w:val="none"/>
        </w:rPr>
        <w:tab/>
      </w:r>
      <w:r>
        <w:rPr>
          <w:highlight w:val="none"/>
        </w:rPr>
        <w:fldChar w:fldCharType="begin"/>
      </w:r>
      <w:r>
        <w:rPr>
          <w:highlight w:val="none"/>
        </w:rPr>
        <w:instrText xml:space="preserve"> PAGEREF _Toc57731967 \h </w:instrText>
      </w:r>
      <w:r>
        <w:rPr>
          <w:highlight w:val="none"/>
        </w:rPr>
        <w:fldChar w:fldCharType="separate"/>
      </w:r>
      <w:r>
        <w:rPr>
          <w:highlight w:val="none"/>
        </w:rPr>
        <w:t>14</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"_Toc57731968"</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一、参选文件的份数</w:t>
      </w:r>
      <w:r>
        <w:rPr>
          <w:highlight w:val="none"/>
        </w:rPr>
        <w:tab/>
      </w:r>
      <w:r>
        <w:rPr>
          <w:highlight w:val="none"/>
        </w:rPr>
        <w:fldChar w:fldCharType="begin"/>
      </w:r>
      <w:r>
        <w:rPr>
          <w:highlight w:val="none"/>
        </w:rPr>
        <w:instrText xml:space="preserve"> PAGEREF _Toc57731968 \h </w:instrText>
      </w:r>
      <w:r>
        <w:rPr>
          <w:highlight w:val="none"/>
        </w:rPr>
        <w:fldChar w:fldCharType="separate"/>
      </w:r>
      <w:r>
        <w:rPr>
          <w:highlight w:val="none"/>
        </w:rPr>
        <w:t>14</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"_Toc57731969"</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二、参选文件的签章</w:t>
      </w:r>
      <w:r>
        <w:rPr>
          <w:highlight w:val="none"/>
        </w:rPr>
        <w:tab/>
      </w:r>
      <w:r>
        <w:rPr>
          <w:highlight w:val="none"/>
        </w:rPr>
        <w:fldChar w:fldCharType="begin"/>
      </w:r>
      <w:r>
        <w:rPr>
          <w:highlight w:val="none"/>
        </w:rPr>
        <w:instrText xml:space="preserve"> PAGEREF _Toc57731969 \h </w:instrText>
      </w:r>
      <w:r>
        <w:rPr>
          <w:highlight w:val="none"/>
        </w:rPr>
        <w:fldChar w:fldCharType="separate"/>
      </w:r>
      <w:r>
        <w:rPr>
          <w:highlight w:val="none"/>
        </w:rPr>
        <w:t>14</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"_Toc57731970"</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三、参选文件的密封与标识</w:t>
      </w:r>
      <w:r>
        <w:rPr>
          <w:highlight w:val="none"/>
        </w:rPr>
        <w:tab/>
      </w:r>
      <w:r>
        <w:rPr>
          <w:highlight w:val="none"/>
        </w:rPr>
        <w:fldChar w:fldCharType="begin"/>
      </w:r>
      <w:r>
        <w:rPr>
          <w:highlight w:val="none"/>
        </w:rPr>
        <w:instrText xml:space="preserve"> PAGEREF _Toc57731970 \h </w:instrText>
      </w:r>
      <w:r>
        <w:rPr>
          <w:highlight w:val="none"/>
        </w:rPr>
        <w:fldChar w:fldCharType="separate"/>
      </w:r>
      <w:r>
        <w:rPr>
          <w:highlight w:val="none"/>
        </w:rPr>
        <w:t>14</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"_Toc57731971"</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第五章</w:t>
      </w:r>
      <w:r>
        <w:rPr>
          <w:rStyle w:val="53"/>
          <w:rFonts w:ascii="宋体" w:hAnsi="宋体"/>
          <w:kern w:val="44"/>
          <w:highlight w:val="none"/>
        </w:rPr>
        <w:t xml:space="preserve"> </w:t>
      </w:r>
      <w:r>
        <w:rPr>
          <w:rStyle w:val="53"/>
          <w:rFonts w:hint="eastAsia" w:ascii="宋体" w:hAnsi="宋体"/>
          <w:kern w:val="44"/>
          <w:highlight w:val="none"/>
        </w:rPr>
        <w:t>参选文件递交</w:t>
      </w:r>
      <w:r>
        <w:rPr>
          <w:highlight w:val="none"/>
        </w:rPr>
        <w:tab/>
      </w:r>
      <w:r>
        <w:rPr>
          <w:highlight w:val="none"/>
        </w:rPr>
        <w:fldChar w:fldCharType="begin"/>
      </w:r>
      <w:r>
        <w:rPr>
          <w:highlight w:val="none"/>
        </w:rPr>
        <w:instrText xml:space="preserve"> PAGEREF _Toc57731971 \h </w:instrText>
      </w:r>
      <w:r>
        <w:rPr>
          <w:highlight w:val="none"/>
        </w:rPr>
        <w:fldChar w:fldCharType="separate"/>
      </w:r>
      <w:r>
        <w:rPr>
          <w:highlight w:val="none"/>
        </w:rPr>
        <w:t>15</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"_Toc57731972"</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第六章</w:t>
      </w:r>
      <w:r>
        <w:rPr>
          <w:rStyle w:val="53"/>
          <w:rFonts w:ascii="宋体" w:hAnsi="宋体"/>
          <w:kern w:val="44"/>
          <w:highlight w:val="none"/>
        </w:rPr>
        <w:t xml:space="preserve">  </w:t>
      </w:r>
      <w:r>
        <w:rPr>
          <w:rStyle w:val="53"/>
          <w:rFonts w:hint="eastAsia" w:ascii="宋体" w:hAnsi="宋体"/>
          <w:kern w:val="44"/>
          <w:highlight w:val="none"/>
        </w:rPr>
        <w:t>参选有效期</w:t>
      </w:r>
      <w:r>
        <w:rPr>
          <w:highlight w:val="none"/>
        </w:rPr>
        <w:tab/>
      </w:r>
      <w:r>
        <w:rPr>
          <w:highlight w:val="none"/>
        </w:rPr>
        <w:fldChar w:fldCharType="begin"/>
      </w:r>
      <w:r>
        <w:rPr>
          <w:highlight w:val="none"/>
        </w:rPr>
        <w:instrText xml:space="preserve"> PAGEREF _Toc57731972 \h </w:instrText>
      </w:r>
      <w:r>
        <w:rPr>
          <w:highlight w:val="none"/>
        </w:rPr>
        <w:fldChar w:fldCharType="separate"/>
      </w:r>
      <w:r>
        <w:rPr>
          <w:highlight w:val="none"/>
        </w:rPr>
        <w:t>15</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"_Toc57731973"</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第七章</w:t>
      </w:r>
      <w:r>
        <w:rPr>
          <w:rStyle w:val="53"/>
          <w:rFonts w:ascii="宋体" w:hAnsi="宋体"/>
          <w:kern w:val="44"/>
          <w:highlight w:val="none"/>
        </w:rPr>
        <w:t xml:space="preserve">  </w:t>
      </w:r>
      <w:r>
        <w:rPr>
          <w:rStyle w:val="53"/>
          <w:rFonts w:hint="eastAsia" w:ascii="宋体" w:hAnsi="宋体"/>
          <w:kern w:val="44"/>
          <w:highlight w:val="none"/>
        </w:rPr>
        <w:t>开标</w:t>
      </w:r>
      <w:r>
        <w:rPr>
          <w:highlight w:val="none"/>
        </w:rPr>
        <w:tab/>
      </w:r>
      <w:r>
        <w:rPr>
          <w:highlight w:val="none"/>
        </w:rPr>
        <w:fldChar w:fldCharType="begin"/>
      </w:r>
      <w:r>
        <w:rPr>
          <w:highlight w:val="none"/>
        </w:rPr>
        <w:instrText xml:space="preserve"> PAGEREF _Toc57731973 \h </w:instrText>
      </w:r>
      <w:r>
        <w:rPr>
          <w:highlight w:val="none"/>
        </w:rPr>
        <w:fldChar w:fldCharType="separate"/>
      </w:r>
      <w:r>
        <w:rPr>
          <w:highlight w:val="none"/>
        </w:rPr>
        <w:t>15</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"_Toc57731974"</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第八章</w:t>
      </w:r>
      <w:r>
        <w:rPr>
          <w:rStyle w:val="53"/>
          <w:rFonts w:ascii="宋体" w:hAnsi="宋体"/>
          <w:kern w:val="44"/>
          <w:highlight w:val="none"/>
        </w:rPr>
        <w:t xml:space="preserve"> </w:t>
      </w:r>
      <w:r>
        <w:rPr>
          <w:rStyle w:val="53"/>
          <w:rFonts w:hint="eastAsia" w:ascii="宋体" w:hAnsi="宋体"/>
          <w:kern w:val="44"/>
          <w:highlight w:val="none"/>
        </w:rPr>
        <w:t>评标</w:t>
      </w:r>
      <w:r>
        <w:rPr>
          <w:highlight w:val="none"/>
        </w:rPr>
        <w:tab/>
      </w:r>
      <w:r>
        <w:rPr>
          <w:highlight w:val="none"/>
        </w:rPr>
        <w:fldChar w:fldCharType="begin"/>
      </w:r>
      <w:r>
        <w:rPr>
          <w:highlight w:val="none"/>
        </w:rPr>
        <w:instrText xml:space="preserve"> PAGEREF _Toc57731974 \h </w:instrText>
      </w:r>
      <w:r>
        <w:rPr>
          <w:highlight w:val="none"/>
        </w:rPr>
        <w:fldChar w:fldCharType="separate"/>
      </w:r>
      <w:r>
        <w:rPr>
          <w:highlight w:val="none"/>
        </w:rPr>
        <w:t>16</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"_Toc57731975"</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第九章</w:t>
      </w:r>
      <w:r>
        <w:rPr>
          <w:rStyle w:val="53"/>
          <w:rFonts w:ascii="宋体" w:hAnsi="宋体"/>
          <w:kern w:val="44"/>
          <w:highlight w:val="none"/>
        </w:rPr>
        <w:t xml:space="preserve">  </w:t>
      </w:r>
      <w:r>
        <w:rPr>
          <w:rStyle w:val="53"/>
          <w:rFonts w:hint="eastAsia" w:ascii="宋体" w:hAnsi="宋体"/>
          <w:kern w:val="44"/>
          <w:highlight w:val="none"/>
        </w:rPr>
        <w:t>确定中选人</w:t>
      </w:r>
      <w:r>
        <w:rPr>
          <w:highlight w:val="none"/>
        </w:rPr>
        <w:tab/>
      </w:r>
      <w:r>
        <w:rPr>
          <w:highlight w:val="none"/>
        </w:rPr>
        <w:fldChar w:fldCharType="begin"/>
      </w:r>
      <w:r>
        <w:rPr>
          <w:highlight w:val="none"/>
        </w:rPr>
        <w:instrText xml:space="preserve"> PAGEREF _Toc57731975 \h </w:instrText>
      </w:r>
      <w:r>
        <w:rPr>
          <w:highlight w:val="none"/>
        </w:rPr>
        <w:fldChar w:fldCharType="separate"/>
      </w:r>
      <w:r>
        <w:rPr>
          <w:highlight w:val="none"/>
        </w:rPr>
        <w:t>17</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"_Toc57731976"</w:instrText>
      </w:r>
      <w:r>
        <w:rPr>
          <w:rStyle w:val="53"/>
          <w:highlight w:val="none"/>
        </w:rPr>
        <w:instrText xml:space="preserve"> </w:instrText>
      </w:r>
      <w:r>
        <w:rPr>
          <w:rStyle w:val="53"/>
          <w:highlight w:val="none"/>
        </w:rPr>
        <w:fldChar w:fldCharType="separate"/>
      </w:r>
      <w:r>
        <w:rPr>
          <w:rStyle w:val="53"/>
          <w:rFonts w:hint="eastAsia" w:ascii="宋体" w:hAnsi="宋体"/>
          <w:kern w:val="44"/>
          <w:highlight w:val="none"/>
        </w:rPr>
        <w:t>第十章</w:t>
      </w:r>
      <w:r>
        <w:rPr>
          <w:rStyle w:val="53"/>
          <w:rFonts w:ascii="宋体" w:hAnsi="宋体"/>
          <w:kern w:val="44"/>
          <w:highlight w:val="none"/>
        </w:rPr>
        <w:t xml:space="preserve">  </w:t>
      </w:r>
      <w:r>
        <w:rPr>
          <w:rStyle w:val="53"/>
          <w:rFonts w:hint="eastAsia" w:ascii="宋体" w:hAnsi="宋体"/>
          <w:kern w:val="44"/>
          <w:highlight w:val="none"/>
        </w:rPr>
        <w:t>合同的授予</w:t>
      </w:r>
      <w:r>
        <w:rPr>
          <w:highlight w:val="none"/>
        </w:rPr>
        <w:tab/>
      </w:r>
      <w:r>
        <w:rPr>
          <w:highlight w:val="none"/>
        </w:rPr>
        <w:fldChar w:fldCharType="begin"/>
      </w:r>
      <w:r>
        <w:rPr>
          <w:highlight w:val="none"/>
        </w:rPr>
        <w:instrText xml:space="preserve"> PAGEREF _Toc57731976 \h </w:instrText>
      </w:r>
      <w:r>
        <w:rPr>
          <w:highlight w:val="none"/>
        </w:rPr>
        <w:fldChar w:fldCharType="separate"/>
      </w:r>
      <w:r>
        <w:rPr>
          <w:highlight w:val="none"/>
        </w:rPr>
        <w:t>17</w:t>
      </w:r>
      <w:r>
        <w:rPr>
          <w:highlight w:val="none"/>
        </w:rPr>
        <w:fldChar w:fldCharType="end"/>
      </w:r>
      <w:r>
        <w:rPr>
          <w:rStyle w:val="53"/>
          <w:highlight w:val="none"/>
        </w:rPr>
        <w:fldChar w:fldCharType="end"/>
      </w:r>
    </w:p>
    <w:p>
      <w:pPr>
        <w:pStyle w:val="40"/>
        <w:tabs>
          <w:tab w:val="right" w:leader="middleDot" w:pos="8757"/>
          <w:tab w:val="right" w:leader="middleDot" w:pos="9450"/>
          <w:tab w:val="right" w:leader="middleDot" w:pos="12180"/>
        </w:tabs>
        <w:spacing w:line="360" w:lineRule="auto"/>
        <w:ind w:firstLine="720"/>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"_Toc57731977"</w:instrText>
      </w:r>
      <w:r>
        <w:rPr>
          <w:rStyle w:val="53"/>
          <w:highlight w:val="none"/>
        </w:rPr>
        <w:instrText xml:space="preserve"> </w:instrText>
      </w:r>
      <w:r>
        <w:rPr>
          <w:rStyle w:val="53"/>
          <w:highlight w:val="none"/>
        </w:rPr>
        <w:fldChar w:fldCharType="separate"/>
      </w:r>
      <w:r>
        <w:rPr>
          <w:rStyle w:val="53"/>
          <w:rFonts w:hint="eastAsia" w:ascii="宋体" w:hAnsi="宋体"/>
          <w:bCs/>
          <w:highlight w:val="none"/>
        </w:rPr>
        <w:t>附件：评标办法</w:t>
      </w:r>
      <w:r>
        <w:rPr>
          <w:highlight w:val="none"/>
        </w:rPr>
        <w:tab/>
      </w:r>
      <w:r>
        <w:rPr>
          <w:highlight w:val="none"/>
        </w:rPr>
        <w:fldChar w:fldCharType="begin"/>
      </w:r>
      <w:r>
        <w:rPr>
          <w:highlight w:val="none"/>
        </w:rPr>
        <w:instrText xml:space="preserve"> PAGEREF _Toc57731977 \h </w:instrText>
      </w:r>
      <w:r>
        <w:rPr>
          <w:highlight w:val="none"/>
        </w:rPr>
        <w:fldChar w:fldCharType="separate"/>
      </w:r>
      <w:r>
        <w:rPr>
          <w:highlight w:val="none"/>
        </w:rPr>
        <w:t>18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"_Toc57731978"</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一、总则</w:t>
      </w:r>
      <w:r>
        <w:rPr>
          <w:highlight w:val="none"/>
        </w:rPr>
        <w:tab/>
      </w:r>
      <w:r>
        <w:rPr>
          <w:highlight w:val="none"/>
        </w:rPr>
        <w:fldChar w:fldCharType="begin"/>
      </w:r>
      <w:r>
        <w:rPr>
          <w:highlight w:val="none"/>
        </w:rPr>
        <w:instrText xml:space="preserve"> PAGEREF _Toc57731978 \h </w:instrText>
      </w:r>
      <w:r>
        <w:rPr>
          <w:highlight w:val="none"/>
        </w:rPr>
        <w:fldChar w:fldCharType="separate"/>
      </w:r>
      <w:r>
        <w:rPr>
          <w:highlight w:val="none"/>
        </w:rPr>
        <w:t>18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"_Toc57731979"</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二、评定标组织</w:t>
      </w:r>
      <w:r>
        <w:rPr>
          <w:highlight w:val="none"/>
        </w:rPr>
        <w:tab/>
      </w:r>
      <w:r>
        <w:rPr>
          <w:highlight w:val="none"/>
        </w:rPr>
        <w:fldChar w:fldCharType="begin"/>
      </w:r>
      <w:r>
        <w:rPr>
          <w:highlight w:val="none"/>
        </w:rPr>
        <w:instrText xml:space="preserve"> PAGEREF _Toc57731979 \h </w:instrText>
      </w:r>
      <w:r>
        <w:rPr>
          <w:highlight w:val="none"/>
        </w:rPr>
        <w:fldChar w:fldCharType="separate"/>
      </w:r>
      <w:r>
        <w:rPr>
          <w:highlight w:val="none"/>
        </w:rPr>
        <w:t>18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"_Toc57731980"</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三、评标方法与程序</w:t>
      </w:r>
      <w:r>
        <w:rPr>
          <w:highlight w:val="none"/>
        </w:rPr>
        <w:tab/>
      </w:r>
      <w:r>
        <w:rPr>
          <w:highlight w:val="none"/>
        </w:rPr>
        <w:fldChar w:fldCharType="begin"/>
      </w:r>
      <w:r>
        <w:rPr>
          <w:highlight w:val="none"/>
        </w:rPr>
        <w:instrText xml:space="preserve"> PAGEREF _Toc57731980 \h </w:instrText>
      </w:r>
      <w:r>
        <w:rPr>
          <w:highlight w:val="none"/>
        </w:rPr>
        <w:fldChar w:fldCharType="separate"/>
      </w:r>
      <w:r>
        <w:rPr>
          <w:highlight w:val="none"/>
        </w:rPr>
        <w:t>18</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"_Toc57731981"</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四、评审标准</w:t>
      </w:r>
      <w:r>
        <w:rPr>
          <w:highlight w:val="none"/>
        </w:rPr>
        <w:tab/>
      </w:r>
      <w:r>
        <w:rPr>
          <w:highlight w:val="none"/>
        </w:rPr>
        <w:fldChar w:fldCharType="begin"/>
      </w:r>
      <w:r>
        <w:rPr>
          <w:highlight w:val="none"/>
        </w:rPr>
        <w:instrText xml:space="preserve"> PAGEREF _Toc57731981 \h </w:instrText>
      </w:r>
      <w:r>
        <w:rPr>
          <w:highlight w:val="none"/>
        </w:rPr>
        <w:fldChar w:fldCharType="separate"/>
      </w:r>
      <w:r>
        <w:rPr>
          <w:highlight w:val="none"/>
        </w:rPr>
        <w:t>19</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"_Toc57731982"</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五、中选价确定原则</w:t>
      </w:r>
      <w:r>
        <w:rPr>
          <w:highlight w:val="none"/>
        </w:rPr>
        <w:tab/>
      </w:r>
      <w:r>
        <w:rPr>
          <w:highlight w:val="none"/>
        </w:rPr>
        <w:fldChar w:fldCharType="begin"/>
      </w:r>
      <w:r>
        <w:rPr>
          <w:highlight w:val="none"/>
        </w:rPr>
        <w:instrText xml:space="preserve"> PAGEREF _Toc57731982 \h </w:instrText>
      </w:r>
      <w:r>
        <w:rPr>
          <w:highlight w:val="none"/>
        </w:rPr>
        <w:fldChar w:fldCharType="separate"/>
      </w:r>
      <w:r>
        <w:rPr>
          <w:highlight w:val="none"/>
        </w:rPr>
        <w:t>20</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"_Toc57731983"</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六、定标</w:t>
      </w:r>
      <w:r>
        <w:rPr>
          <w:highlight w:val="none"/>
        </w:rPr>
        <w:tab/>
      </w:r>
      <w:r>
        <w:rPr>
          <w:highlight w:val="none"/>
        </w:rPr>
        <w:fldChar w:fldCharType="begin"/>
      </w:r>
      <w:r>
        <w:rPr>
          <w:highlight w:val="none"/>
        </w:rPr>
        <w:instrText xml:space="preserve"> PAGEREF _Toc57731983 \h </w:instrText>
      </w:r>
      <w:r>
        <w:rPr>
          <w:highlight w:val="none"/>
        </w:rPr>
        <w:fldChar w:fldCharType="separate"/>
      </w:r>
      <w:r>
        <w:rPr>
          <w:highlight w:val="none"/>
        </w:rPr>
        <w:t>20</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"_Toc57731984"</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七、评标守则</w:t>
      </w:r>
      <w:r>
        <w:rPr>
          <w:highlight w:val="none"/>
        </w:rPr>
        <w:tab/>
      </w:r>
      <w:r>
        <w:rPr>
          <w:highlight w:val="none"/>
        </w:rPr>
        <w:fldChar w:fldCharType="begin"/>
      </w:r>
      <w:r>
        <w:rPr>
          <w:highlight w:val="none"/>
        </w:rPr>
        <w:instrText xml:space="preserve"> PAGEREF _Toc57731984 \h </w:instrText>
      </w:r>
      <w:r>
        <w:rPr>
          <w:highlight w:val="none"/>
        </w:rPr>
        <w:fldChar w:fldCharType="separate"/>
      </w:r>
      <w:r>
        <w:rPr>
          <w:highlight w:val="none"/>
        </w:rPr>
        <w:t>20</w:t>
      </w:r>
      <w:r>
        <w:rPr>
          <w:highlight w:val="none"/>
        </w:rPr>
        <w:fldChar w:fldCharType="end"/>
      </w:r>
      <w:r>
        <w:rPr>
          <w:rStyle w:val="53"/>
          <w:highlight w:val="none"/>
        </w:rPr>
        <w:fldChar w:fldCharType="end"/>
      </w:r>
    </w:p>
    <w:p>
      <w:pPr>
        <w:pStyle w:val="32"/>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"_Toc57731985"</w:instrText>
      </w:r>
      <w:r>
        <w:rPr>
          <w:rStyle w:val="53"/>
          <w:highlight w:val="none"/>
        </w:rPr>
        <w:instrText xml:space="preserve"> </w:instrText>
      </w:r>
      <w:r>
        <w:rPr>
          <w:rStyle w:val="53"/>
          <w:highlight w:val="none"/>
        </w:rPr>
        <w:fldChar w:fldCharType="separate"/>
      </w:r>
      <w:r>
        <w:rPr>
          <w:rStyle w:val="53"/>
          <w:rFonts w:hint="eastAsia" w:ascii="宋体" w:hAnsi="宋体"/>
          <w:highlight w:val="none"/>
        </w:rPr>
        <w:t>第二篇</w:t>
      </w:r>
      <w:r>
        <w:rPr>
          <w:rStyle w:val="53"/>
          <w:rFonts w:ascii="宋体" w:hAnsi="宋体"/>
          <w:highlight w:val="none"/>
        </w:rPr>
        <w:t xml:space="preserve">  </w:t>
      </w:r>
      <w:r>
        <w:rPr>
          <w:rStyle w:val="53"/>
          <w:rFonts w:hint="eastAsia" w:ascii="宋体" w:hAnsi="宋体"/>
          <w:highlight w:val="none"/>
        </w:rPr>
        <w:t>参选文件格式</w:t>
      </w:r>
      <w:r>
        <w:rPr>
          <w:highlight w:val="none"/>
        </w:rPr>
        <w:tab/>
      </w:r>
      <w:r>
        <w:rPr>
          <w:highlight w:val="none"/>
        </w:rPr>
        <w:fldChar w:fldCharType="begin"/>
      </w:r>
      <w:r>
        <w:rPr>
          <w:highlight w:val="none"/>
        </w:rPr>
        <w:instrText xml:space="preserve"> PAGEREF _Toc57731985 \h </w:instrText>
      </w:r>
      <w:r>
        <w:rPr>
          <w:highlight w:val="none"/>
        </w:rPr>
        <w:fldChar w:fldCharType="separate"/>
      </w:r>
      <w:r>
        <w:rPr>
          <w:highlight w:val="none"/>
        </w:rPr>
        <w:t>32</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"_Toc57731986"</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技术标书目录</w:t>
      </w:r>
      <w:r>
        <w:rPr>
          <w:highlight w:val="none"/>
        </w:rPr>
        <w:tab/>
      </w:r>
      <w:r>
        <w:rPr>
          <w:highlight w:val="none"/>
        </w:rPr>
        <w:fldChar w:fldCharType="begin"/>
      </w:r>
      <w:r>
        <w:rPr>
          <w:highlight w:val="none"/>
        </w:rPr>
        <w:instrText xml:space="preserve"> PAGEREF _Toc57731986 \h </w:instrText>
      </w:r>
      <w:r>
        <w:rPr>
          <w:highlight w:val="none"/>
        </w:rPr>
        <w:fldChar w:fldCharType="separate"/>
      </w:r>
      <w:r>
        <w:rPr>
          <w:highlight w:val="none"/>
        </w:rPr>
        <w:t>34</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rPr>
          <w:rFonts w:ascii="Calibri" w:hAnsi="Calibri"/>
          <w:sz w:val="21"/>
          <w:szCs w:val="22"/>
          <w:highlight w:val="none"/>
        </w:rPr>
      </w:pPr>
      <w:r>
        <w:rPr>
          <w:rStyle w:val="53"/>
          <w:highlight w:val="none"/>
        </w:rPr>
        <w:fldChar w:fldCharType="begin"/>
      </w:r>
      <w:r>
        <w:rPr>
          <w:rStyle w:val="53"/>
          <w:highlight w:val="none"/>
        </w:rPr>
        <w:instrText xml:space="preserve"> </w:instrText>
      </w:r>
      <w:r>
        <w:rPr>
          <w:highlight w:val="none"/>
        </w:rPr>
        <w:instrText xml:space="preserve">HYPERLINK \l "_Toc57731987"</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商务标书目录</w:t>
      </w:r>
      <w:r>
        <w:rPr>
          <w:highlight w:val="none"/>
        </w:rPr>
        <w:tab/>
      </w:r>
      <w:r>
        <w:rPr>
          <w:highlight w:val="none"/>
        </w:rPr>
        <w:fldChar w:fldCharType="begin"/>
      </w:r>
      <w:r>
        <w:rPr>
          <w:highlight w:val="none"/>
        </w:rPr>
        <w:instrText xml:space="preserve"> PAGEREF _Toc57731987 \h </w:instrText>
      </w:r>
      <w:r>
        <w:rPr>
          <w:highlight w:val="none"/>
        </w:rPr>
        <w:fldChar w:fldCharType="separate"/>
      </w:r>
      <w:r>
        <w:rPr>
          <w:highlight w:val="none"/>
        </w:rPr>
        <w:t>43</w:t>
      </w:r>
      <w:r>
        <w:rPr>
          <w:highlight w:val="none"/>
        </w:rPr>
        <w:fldChar w:fldCharType="end"/>
      </w:r>
      <w:r>
        <w:rPr>
          <w:rStyle w:val="53"/>
          <w:highlight w:val="none"/>
        </w:rPr>
        <w:fldChar w:fldCharType="end"/>
      </w:r>
    </w:p>
    <w:p>
      <w:pPr>
        <w:pStyle w:val="23"/>
        <w:tabs>
          <w:tab w:val="right" w:leader="middleDot" w:pos="8757"/>
          <w:tab w:val="right" w:leader="middleDot" w:pos="9450"/>
          <w:tab w:val="right" w:leader="middleDot" w:pos="12180"/>
        </w:tabs>
        <w:spacing w:line="360" w:lineRule="auto"/>
        <w:ind w:firstLine="424" w:firstLineChars="177"/>
        <w:rPr>
          <w:rFonts w:ascii="Calibri" w:hAnsi="Calibri"/>
          <w:sz w:val="21"/>
          <w:szCs w:val="22"/>
          <w:highlight w:val="none"/>
        </w:rPr>
      </w:pPr>
      <w:r>
        <w:rPr>
          <w:rStyle w:val="53"/>
          <w:rFonts w:hint="eastAsia"/>
          <w:highlight w:val="none"/>
        </w:rPr>
        <w:t xml:space="preserve">第三篇 </w:t>
      </w:r>
      <w:r>
        <w:rPr>
          <w:rStyle w:val="53"/>
          <w:highlight w:val="none"/>
        </w:rPr>
        <w:t xml:space="preserve"> </w:t>
      </w:r>
      <w:r>
        <w:rPr>
          <w:rStyle w:val="53"/>
          <w:highlight w:val="none"/>
        </w:rPr>
        <w:fldChar w:fldCharType="begin"/>
      </w:r>
      <w:r>
        <w:rPr>
          <w:rStyle w:val="53"/>
          <w:highlight w:val="none"/>
        </w:rPr>
        <w:instrText xml:space="preserve"> </w:instrText>
      </w:r>
      <w:r>
        <w:rPr>
          <w:highlight w:val="none"/>
        </w:rPr>
        <w:instrText xml:space="preserve">HYPERLINK \l "_Toc57731988"</w:instrText>
      </w:r>
      <w:r>
        <w:rPr>
          <w:rStyle w:val="53"/>
          <w:highlight w:val="none"/>
        </w:rPr>
        <w:instrText xml:space="preserve"> </w:instrText>
      </w:r>
      <w:r>
        <w:rPr>
          <w:rStyle w:val="53"/>
          <w:highlight w:val="none"/>
        </w:rPr>
        <w:fldChar w:fldCharType="separate"/>
      </w:r>
      <w:r>
        <w:rPr>
          <w:rStyle w:val="53"/>
          <w:rFonts w:hint="eastAsia" w:ascii="宋体" w:hAnsi="宋体"/>
          <w:kern w:val="0"/>
          <w:highlight w:val="none"/>
        </w:rPr>
        <w:t>合同</w:t>
      </w:r>
      <w:r>
        <w:rPr>
          <w:highlight w:val="none"/>
        </w:rPr>
        <w:tab/>
      </w:r>
      <w:r>
        <w:rPr>
          <w:highlight w:val="none"/>
        </w:rPr>
        <w:tab/>
      </w:r>
      <w:r>
        <w:rPr>
          <w:highlight w:val="none"/>
        </w:rPr>
        <w:fldChar w:fldCharType="begin"/>
      </w:r>
      <w:r>
        <w:rPr>
          <w:highlight w:val="none"/>
        </w:rPr>
        <w:instrText xml:space="preserve"> PAGEREF _Toc57731988 \h </w:instrText>
      </w:r>
      <w:r>
        <w:rPr>
          <w:highlight w:val="none"/>
        </w:rPr>
        <w:fldChar w:fldCharType="separate"/>
      </w:r>
      <w:r>
        <w:rPr>
          <w:highlight w:val="none"/>
        </w:rPr>
        <w:t>47</w:t>
      </w:r>
      <w:r>
        <w:rPr>
          <w:highlight w:val="none"/>
        </w:rPr>
        <w:fldChar w:fldCharType="end"/>
      </w:r>
      <w:r>
        <w:rPr>
          <w:rStyle w:val="53"/>
          <w:highlight w:val="none"/>
        </w:rPr>
        <w:fldChar w:fldCharType="end"/>
      </w:r>
    </w:p>
    <w:p>
      <w:pPr>
        <w:tabs>
          <w:tab w:val="right" w:leader="middleDot" w:pos="9450"/>
          <w:tab w:val="right" w:pos="12180"/>
        </w:tabs>
        <w:spacing w:line="360" w:lineRule="auto"/>
        <w:rPr>
          <w:rFonts w:ascii="宋体" w:hAnsi="宋体"/>
          <w:highlight w:val="none"/>
        </w:rPr>
      </w:pPr>
      <w:r>
        <w:rPr>
          <w:rFonts w:ascii="宋体" w:hAnsi="宋体"/>
          <w:bCs/>
          <w:highlight w:val="none"/>
          <w:lang w:val="zh-CN"/>
        </w:rPr>
        <w:fldChar w:fldCharType="end"/>
      </w:r>
    </w:p>
    <w:p>
      <w:pPr>
        <w:spacing w:line="360" w:lineRule="auto"/>
        <w:rPr>
          <w:rFonts w:hAnsi="宋体"/>
          <w:highlight w:val="none"/>
          <w:u w:val="single"/>
        </w:rPr>
        <w:sectPr>
          <w:headerReference r:id="rId4" w:type="first"/>
          <w:headerReference r:id="rId3" w:type="default"/>
          <w:footerReference r:id="rId5" w:type="default"/>
          <w:pgSz w:w="11906" w:h="16838"/>
          <w:pgMar w:top="1440" w:right="1700" w:bottom="1440" w:left="1440" w:header="720" w:footer="890" w:gutter="0"/>
          <w:pgNumType w:start="1"/>
          <w:cols w:space="720" w:num="1"/>
          <w:titlePg/>
          <w:docGrid w:linePitch="312" w:charSpace="0"/>
        </w:sectPr>
      </w:pPr>
    </w:p>
    <w:p>
      <w:pPr>
        <w:pStyle w:val="4"/>
        <w:spacing w:before="240" w:line="360" w:lineRule="auto"/>
        <w:rPr>
          <w:rFonts w:ascii="宋体" w:hAnsi="宋体"/>
          <w:b w:val="0"/>
          <w:sz w:val="44"/>
          <w:szCs w:val="44"/>
          <w:highlight w:val="none"/>
        </w:rPr>
      </w:pPr>
      <w:bookmarkStart w:id="7" w:name="_Toc276575914"/>
      <w:bookmarkStart w:id="8" w:name="_Toc57731942"/>
      <w:bookmarkStart w:id="9" w:name="_Toc518494113"/>
      <w:bookmarkStart w:id="10" w:name="_Toc372555578"/>
      <w:bookmarkStart w:id="11" w:name="_Toc197404895"/>
      <w:bookmarkStart w:id="12" w:name="_Toc372555579"/>
      <w:bookmarkStart w:id="13" w:name="_Toc39758874"/>
      <w:bookmarkStart w:id="14" w:name="_Toc402782153"/>
      <w:bookmarkStart w:id="15" w:name="_Toc188439083"/>
      <w:bookmarkStart w:id="16" w:name="_Toc29995568"/>
      <w:bookmarkStart w:id="17" w:name="_Toc191203192"/>
      <w:r>
        <w:rPr>
          <w:rFonts w:ascii="宋体" w:hAnsi="宋体"/>
          <w:b w:val="0"/>
          <w:sz w:val="44"/>
          <w:szCs w:val="44"/>
          <w:highlight w:val="none"/>
        </w:rPr>
        <w:t>致参选人</w:t>
      </w:r>
      <w:bookmarkEnd w:id="7"/>
      <w:bookmarkEnd w:id="8"/>
      <w:bookmarkEnd w:id="9"/>
      <w:bookmarkEnd w:id="10"/>
      <w:bookmarkEnd w:id="11"/>
    </w:p>
    <w:p>
      <w:pPr>
        <w:pStyle w:val="24"/>
        <w:spacing w:before="240" w:beforeLines="100" w:after="120" w:afterLines="50" w:line="360" w:lineRule="auto"/>
        <w:ind w:firstLine="480" w:firstLineChars="200"/>
        <w:rPr>
          <w:rFonts w:hAnsi="宋体"/>
          <w:sz w:val="24"/>
          <w:highlight w:val="none"/>
        </w:rPr>
      </w:pPr>
      <w:r>
        <w:rPr>
          <w:rFonts w:hAnsi="宋体"/>
          <w:sz w:val="24"/>
          <w:highlight w:val="none"/>
        </w:rPr>
        <w:t>本比选文件是依据有关</w:t>
      </w:r>
      <w:r>
        <w:rPr>
          <w:rFonts w:hint="eastAsia" w:hAnsi="宋体"/>
          <w:sz w:val="24"/>
          <w:highlight w:val="none"/>
        </w:rPr>
        <w:t>招标</w:t>
      </w:r>
      <w:r>
        <w:rPr>
          <w:rFonts w:hAnsi="宋体"/>
          <w:sz w:val="24"/>
          <w:highlight w:val="none"/>
        </w:rPr>
        <w:t>参选的法律、法规、规章和规范性文件的规定，根据本比选</w:t>
      </w:r>
      <w:r>
        <w:rPr>
          <w:rFonts w:hint="eastAsia" w:hAnsi="宋体"/>
          <w:sz w:val="24"/>
          <w:highlight w:val="none"/>
        </w:rPr>
        <w:t>项目</w:t>
      </w:r>
      <w:r>
        <w:rPr>
          <w:rFonts w:hAnsi="宋体"/>
          <w:sz w:val="24"/>
          <w:highlight w:val="none"/>
        </w:rPr>
        <w:t>的特点和需要编制的。</w:t>
      </w:r>
    </w:p>
    <w:p>
      <w:pPr>
        <w:pStyle w:val="24"/>
        <w:spacing w:before="240" w:beforeLines="100" w:after="120" w:afterLines="50" w:line="360" w:lineRule="auto"/>
        <w:ind w:firstLine="480" w:firstLineChars="200"/>
        <w:rPr>
          <w:rFonts w:hAnsi="宋体"/>
          <w:sz w:val="24"/>
          <w:highlight w:val="none"/>
        </w:rPr>
      </w:pPr>
      <w:r>
        <w:rPr>
          <w:rFonts w:hAnsi="宋体"/>
          <w:sz w:val="24"/>
          <w:highlight w:val="none"/>
        </w:rPr>
        <w:t>比选文件的编制遵循公开、公平、公正和诚实信用的原则，比选文件的内容已清楚地反映了</w:t>
      </w:r>
      <w:r>
        <w:rPr>
          <w:rFonts w:hint="eastAsia" w:hAnsi="宋体" w:eastAsia="宋体" w:cs="Times New Roman"/>
          <w:b/>
          <w:bCs/>
          <w:color w:val="FF0000"/>
          <w:sz w:val="24"/>
          <w:highlight w:val="none"/>
          <w:u w:val="single"/>
        </w:rPr>
        <w:t>深铁瑞城系列营销活动与现场包装服</w:t>
      </w:r>
      <w:r>
        <w:rPr>
          <w:rFonts w:hint="eastAsia" w:hAnsi="宋体"/>
          <w:b/>
          <w:bCs/>
          <w:color w:val="FF0000"/>
          <w:sz w:val="24"/>
          <w:highlight w:val="none"/>
          <w:u w:val="single"/>
        </w:rPr>
        <w:t>务</w:t>
      </w:r>
      <w:r>
        <w:rPr>
          <w:rFonts w:hint="eastAsia" w:hAnsi="宋体"/>
          <w:sz w:val="24"/>
          <w:highlight w:val="none"/>
        </w:rPr>
        <w:t>工作内容和基本</w:t>
      </w:r>
      <w:r>
        <w:rPr>
          <w:rFonts w:hAnsi="宋体"/>
          <w:sz w:val="24"/>
          <w:highlight w:val="none"/>
        </w:rPr>
        <w:t>要求。我们要求参选人必须完全响应本比选文件的实质性内容。</w:t>
      </w:r>
    </w:p>
    <w:p>
      <w:pPr>
        <w:pStyle w:val="24"/>
        <w:spacing w:before="240" w:beforeLines="100" w:after="120" w:afterLines="50" w:line="360" w:lineRule="auto"/>
        <w:ind w:firstLine="480" w:firstLineChars="200"/>
        <w:rPr>
          <w:rFonts w:hAnsi="宋体"/>
          <w:sz w:val="24"/>
          <w:highlight w:val="none"/>
        </w:rPr>
      </w:pPr>
      <w:r>
        <w:rPr>
          <w:rFonts w:hint="eastAsia" w:hAnsi="宋体"/>
          <w:sz w:val="24"/>
          <w:highlight w:val="none"/>
          <w:u w:val="single"/>
        </w:rPr>
        <w:t>领取了本比选文件的正式参选人，请</w:t>
      </w:r>
      <w:r>
        <w:rPr>
          <w:rFonts w:hAnsi="宋体"/>
          <w:sz w:val="24"/>
          <w:highlight w:val="none"/>
          <w:u w:val="single"/>
        </w:rPr>
        <w:t>随时查看“深圳地铁</w:t>
      </w:r>
      <w:r>
        <w:rPr>
          <w:rFonts w:hint="eastAsia" w:hAnsi="宋体"/>
          <w:sz w:val="24"/>
          <w:highlight w:val="none"/>
          <w:u w:val="single"/>
        </w:rPr>
        <w:t>官</w:t>
      </w:r>
      <w:r>
        <w:rPr>
          <w:rFonts w:hAnsi="宋体"/>
          <w:sz w:val="24"/>
          <w:highlight w:val="none"/>
          <w:u w:val="single"/>
        </w:rPr>
        <w:t>网”</w:t>
      </w:r>
      <w:r>
        <w:rPr>
          <w:rFonts w:hint="eastAsia" w:hAnsi="宋体"/>
          <w:sz w:val="24"/>
          <w:highlight w:val="none"/>
          <w:u w:val="single"/>
        </w:rPr>
        <w:t>、</w:t>
      </w:r>
      <w:r>
        <w:rPr>
          <w:rFonts w:hint="eastAsia" w:hAnsi="宋体"/>
          <w:sz w:val="24"/>
          <w:highlight w:val="none"/>
          <w:u w:val="single"/>
          <w:lang w:eastAsia="zh-CN"/>
        </w:rPr>
        <w:t>“</w:t>
      </w:r>
      <w:r>
        <w:rPr>
          <w:rFonts w:hint="eastAsia" w:ascii="宋体" w:hAnsi="宋体" w:cs="宋体"/>
          <w:bCs/>
          <w:kern w:val="2"/>
          <w:sz w:val="21"/>
          <w:szCs w:val="21"/>
          <w:highlight w:val="none"/>
          <w:u w:val="single"/>
          <w:lang w:val="en-US" w:eastAsia="zh-CN"/>
        </w:rPr>
        <w:t>深铁招采网</w:t>
      </w:r>
      <w:r>
        <w:rPr>
          <w:rFonts w:hint="eastAsia" w:hAnsi="宋体"/>
          <w:sz w:val="24"/>
          <w:highlight w:val="none"/>
          <w:u w:val="single"/>
          <w:lang w:eastAsia="zh-CN"/>
        </w:rPr>
        <w:t>”</w:t>
      </w:r>
      <w:r>
        <w:rPr>
          <w:rFonts w:hint="eastAsia" w:hAnsi="宋体"/>
          <w:sz w:val="24"/>
          <w:highlight w:val="none"/>
          <w:u w:val="single"/>
        </w:rPr>
        <w:t>“国资委阳光采购平台</w:t>
      </w:r>
      <w:r>
        <w:rPr>
          <w:rFonts w:hAnsi="宋体"/>
          <w:sz w:val="24"/>
          <w:highlight w:val="none"/>
          <w:u w:val="single"/>
        </w:rPr>
        <w:t>”</w:t>
      </w:r>
      <w:r>
        <w:rPr>
          <w:rFonts w:hint="eastAsia" w:hAnsi="宋体"/>
          <w:sz w:val="24"/>
          <w:highlight w:val="none"/>
          <w:u w:val="single"/>
        </w:rPr>
        <w:t>、“深铁</w:t>
      </w:r>
      <w:r>
        <w:rPr>
          <w:rFonts w:hAnsi="宋体"/>
          <w:sz w:val="24"/>
          <w:highlight w:val="none"/>
          <w:u w:val="single"/>
        </w:rPr>
        <w:t>置业</w:t>
      </w:r>
      <w:r>
        <w:rPr>
          <w:rFonts w:hint="eastAsia" w:hAnsi="宋体"/>
          <w:sz w:val="24"/>
          <w:highlight w:val="none"/>
          <w:u w:val="single"/>
        </w:rPr>
        <w:t>微信</w:t>
      </w:r>
      <w:r>
        <w:rPr>
          <w:rFonts w:hAnsi="宋体"/>
          <w:sz w:val="24"/>
          <w:highlight w:val="none"/>
          <w:u w:val="single"/>
        </w:rPr>
        <w:t>订阅</w:t>
      </w:r>
      <w:r>
        <w:rPr>
          <w:rFonts w:hint="eastAsia" w:hAnsi="宋体"/>
          <w:sz w:val="24"/>
          <w:highlight w:val="none"/>
          <w:u w:val="single"/>
        </w:rPr>
        <w:t>号”</w:t>
      </w:r>
      <w:r>
        <w:rPr>
          <w:rFonts w:hint="eastAsia" w:hAnsi="宋体"/>
          <w:sz w:val="24"/>
          <w:highlight w:val="none"/>
          <w:u w:val="single"/>
          <w:lang w:eastAsia="zh-CN"/>
        </w:rPr>
        <w:t>“</w:t>
      </w:r>
      <w:r>
        <w:rPr>
          <w:rFonts w:hint="eastAsia" w:hAnsi="宋体"/>
          <w:sz w:val="24"/>
          <w:highlight w:val="none"/>
          <w:u w:val="single"/>
          <w:lang w:val="en-US" w:eastAsia="zh-CN"/>
        </w:rPr>
        <w:t>深铁招采平台</w:t>
      </w:r>
      <w:r>
        <w:rPr>
          <w:rFonts w:hint="eastAsia" w:hAnsi="宋体"/>
          <w:sz w:val="24"/>
          <w:highlight w:val="none"/>
          <w:u w:val="single"/>
          <w:lang w:eastAsia="zh-CN"/>
        </w:rPr>
        <w:t>”</w:t>
      </w:r>
      <w:r>
        <w:rPr>
          <w:rFonts w:hAnsi="宋体"/>
          <w:sz w:val="24"/>
          <w:highlight w:val="none"/>
          <w:u w:val="single"/>
        </w:rPr>
        <w:t>中有关该项目</w:t>
      </w:r>
      <w:r>
        <w:rPr>
          <w:rFonts w:hint="eastAsia" w:hAnsi="宋体"/>
          <w:sz w:val="24"/>
          <w:highlight w:val="none"/>
          <w:u w:val="single"/>
        </w:rPr>
        <w:t>补遗</w:t>
      </w:r>
      <w:r>
        <w:rPr>
          <w:rFonts w:hAnsi="宋体"/>
          <w:sz w:val="24"/>
          <w:highlight w:val="none"/>
          <w:u w:val="single"/>
        </w:rPr>
        <w:t>文件的信息。</w:t>
      </w:r>
      <w:r>
        <w:rPr>
          <w:rFonts w:hint="eastAsia" w:hAnsi="宋体"/>
          <w:sz w:val="24"/>
          <w:highlight w:val="none"/>
          <w:u w:val="single"/>
        </w:rPr>
        <w:t>否则，</w:t>
      </w:r>
      <w:r>
        <w:rPr>
          <w:rFonts w:hAnsi="宋体"/>
          <w:sz w:val="24"/>
          <w:highlight w:val="none"/>
          <w:u w:val="single"/>
        </w:rPr>
        <w:t>由此导致的不利后果由参选人自负。</w:t>
      </w:r>
    </w:p>
    <w:p>
      <w:pPr>
        <w:pStyle w:val="24"/>
        <w:spacing w:line="360" w:lineRule="auto"/>
        <w:ind w:firstLine="420" w:firstLineChars="175"/>
        <w:rPr>
          <w:rFonts w:hAnsi="宋体"/>
          <w:sz w:val="24"/>
          <w:highlight w:val="none"/>
        </w:rPr>
      </w:pPr>
    </w:p>
    <w:p>
      <w:pPr>
        <w:pStyle w:val="24"/>
        <w:spacing w:line="360" w:lineRule="auto"/>
        <w:ind w:firstLine="420" w:firstLineChars="175"/>
        <w:rPr>
          <w:rFonts w:hAnsi="宋体"/>
          <w:sz w:val="24"/>
          <w:highlight w:val="none"/>
        </w:rPr>
      </w:pPr>
      <w:r>
        <w:rPr>
          <w:rFonts w:hAnsi="宋体"/>
          <w:sz w:val="24"/>
          <w:highlight w:val="none"/>
        </w:rPr>
        <w:t>比选人（盖章）：深圳市地</w:t>
      </w:r>
      <w:r>
        <w:rPr>
          <w:rFonts w:hint="eastAsia" w:hAnsi="宋体"/>
          <w:sz w:val="24"/>
          <w:highlight w:val="none"/>
        </w:rPr>
        <w:t>铁集团</w:t>
      </w:r>
      <w:r>
        <w:rPr>
          <w:rFonts w:hAnsi="宋体"/>
          <w:sz w:val="24"/>
          <w:highlight w:val="none"/>
        </w:rPr>
        <w:t>有限公司</w:t>
      </w:r>
    </w:p>
    <w:p>
      <w:pPr>
        <w:pStyle w:val="24"/>
        <w:spacing w:line="360" w:lineRule="auto"/>
        <w:ind w:firstLine="420" w:firstLineChars="175"/>
        <w:rPr>
          <w:rFonts w:hAnsi="宋体"/>
          <w:sz w:val="24"/>
          <w:highlight w:val="none"/>
        </w:rPr>
      </w:pPr>
      <w:r>
        <w:rPr>
          <w:rFonts w:hAnsi="宋体"/>
          <w:sz w:val="24"/>
          <w:highlight w:val="none"/>
        </w:rPr>
        <w:t>比选</w:t>
      </w:r>
      <w:r>
        <w:rPr>
          <w:rFonts w:hint="eastAsia" w:hAnsi="宋体"/>
          <w:sz w:val="24"/>
          <w:highlight w:val="none"/>
        </w:rPr>
        <w:t>人</w:t>
      </w:r>
      <w:r>
        <w:rPr>
          <w:rFonts w:hAnsi="宋体"/>
          <w:sz w:val="24"/>
          <w:highlight w:val="none"/>
        </w:rPr>
        <w:t>地址：深圳市福田区</w:t>
      </w:r>
      <w:r>
        <w:rPr>
          <w:rFonts w:hint="eastAsia" w:hAnsi="宋体"/>
          <w:sz w:val="24"/>
          <w:highlight w:val="none"/>
        </w:rPr>
        <w:t>福中一路1016号</w:t>
      </w:r>
      <w:r>
        <w:rPr>
          <w:rFonts w:hAnsi="宋体"/>
          <w:sz w:val="24"/>
          <w:highlight w:val="none"/>
        </w:rPr>
        <w:t>地铁</w:t>
      </w:r>
      <w:r>
        <w:rPr>
          <w:rFonts w:hint="eastAsia" w:hAnsi="宋体"/>
          <w:sz w:val="24"/>
          <w:highlight w:val="none"/>
        </w:rPr>
        <w:t>大厦</w:t>
      </w:r>
      <w:r>
        <w:rPr>
          <w:rFonts w:hint="eastAsia" w:hAnsi="宋体"/>
          <w:sz w:val="24"/>
          <w:highlight w:val="none"/>
          <w:lang w:val="en-US" w:eastAsia="zh-CN"/>
        </w:rPr>
        <w:t>1</w:t>
      </w:r>
      <w:r>
        <w:rPr>
          <w:rFonts w:hint="eastAsia" w:hAnsi="宋体"/>
          <w:sz w:val="24"/>
          <w:highlight w:val="none"/>
        </w:rPr>
        <w:t>楼</w:t>
      </w:r>
    </w:p>
    <w:p>
      <w:pPr>
        <w:pStyle w:val="24"/>
        <w:spacing w:line="360" w:lineRule="auto"/>
        <w:ind w:right="94" w:rightChars="45" w:firstLine="420" w:firstLineChars="175"/>
        <w:rPr>
          <w:rFonts w:hAnsi="宋体"/>
          <w:sz w:val="24"/>
          <w:highlight w:val="none"/>
        </w:rPr>
      </w:pPr>
      <w:r>
        <w:rPr>
          <w:rFonts w:hAnsi="宋体"/>
          <w:sz w:val="24"/>
          <w:highlight w:val="none"/>
        </w:rPr>
        <w:t>邮政编码：518</w:t>
      </w:r>
      <w:r>
        <w:rPr>
          <w:rFonts w:hint="eastAsia" w:hAnsi="宋体"/>
          <w:sz w:val="24"/>
          <w:highlight w:val="none"/>
        </w:rPr>
        <w:t>026</w:t>
      </w:r>
    </w:p>
    <w:p>
      <w:pPr>
        <w:pStyle w:val="24"/>
        <w:spacing w:line="360" w:lineRule="auto"/>
        <w:ind w:firstLine="420" w:firstLineChars="175"/>
        <w:rPr>
          <w:rFonts w:hint="eastAsia" w:hAnsi="宋体"/>
          <w:sz w:val="24"/>
          <w:highlight w:val="none"/>
        </w:rPr>
      </w:pPr>
      <w:r>
        <w:rPr>
          <w:rFonts w:hAnsi="宋体"/>
          <w:sz w:val="24"/>
          <w:highlight w:val="none"/>
        </w:rPr>
        <w:t>联 系 人：</w:t>
      </w:r>
      <w:r>
        <w:rPr>
          <w:rFonts w:hint="eastAsia" w:hAnsi="宋体"/>
          <w:sz w:val="24"/>
          <w:highlight w:val="none"/>
          <w:lang w:val="en-US" w:eastAsia="zh-CN"/>
        </w:rPr>
        <w:t>黄</w:t>
      </w:r>
      <w:r>
        <w:rPr>
          <w:rFonts w:hint="eastAsia" w:hAnsi="宋体"/>
          <w:sz w:val="24"/>
          <w:highlight w:val="none"/>
        </w:rPr>
        <w:t>工</w:t>
      </w:r>
    </w:p>
    <w:p>
      <w:pPr>
        <w:pStyle w:val="24"/>
        <w:spacing w:line="360" w:lineRule="auto"/>
        <w:ind w:firstLine="420" w:firstLineChars="175"/>
        <w:rPr>
          <w:rFonts w:hint="eastAsia" w:hAnsi="宋体"/>
          <w:sz w:val="24"/>
          <w:highlight w:val="none"/>
        </w:rPr>
      </w:pPr>
      <w:r>
        <w:rPr>
          <w:rFonts w:hint="eastAsia" w:hAnsi="宋体"/>
          <w:sz w:val="24"/>
          <w:highlight w:val="none"/>
        </w:rPr>
        <w:t>传真：</w:t>
      </w:r>
    </w:p>
    <w:p>
      <w:pPr>
        <w:pStyle w:val="24"/>
        <w:spacing w:line="360" w:lineRule="auto"/>
        <w:ind w:firstLine="420" w:firstLineChars="175"/>
        <w:rPr>
          <w:rStyle w:val="53"/>
          <w:rFonts w:hint="default" w:hAnsi="宋体"/>
          <w:color w:val="0D0D0D"/>
          <w:sz w:val="24"/>
          <w:highlight w:val="none"/>
          <w:u w:val="none"/>
          <w:lang w:val="en-US"/>
        </w:rPr>
      </w:pPr>
      <w:r>
        <w:rPr>
          <w:rFonts w:hAnsi="宋体"/>
          <w:sz w:val="24"/>
          <w:highlight w:val="none"/>
        </w:rPr>
        <w:t>联系电话：</w:t>
      </w:r>
      <w:r>
        <w:rPr>
          <w:rStyle w:val="53"/>
          <w:rFonts w:hint="eastAsia" w:hAnsi="宋体"/>
          <w:color w:val="0D0D0D"/>
          <w:sz w:val="24"/>
          <w:highlight w:val="none"/>
          <w:u w:val="none"/>
        </w:rPr>
        <w:t>(0755)8998</w:t>
      </w:r>
      <w:r>
        <w:rPr>
          <w:rStyle w:val="53"/>
          <w:rFonts w:hint="eastAsia" w:hAnsi="宋体"/>
          <w:color w:val="0D0D0D"/>
          <w:sz w:val="24"/>
          <w:highlight w:val="none"/>
          <w:u w:val="none"/>
          <w:lang w:val="en-US"/>
        </w:rPr>
        <w:t>6643</w:t>
      </w:r>
    </w:p>
    <w:p>
      <w:pPr>
        <w:pStyle w:val="24"/>
        <w:spacing w:line="360" w:lineRule="auto"/>
        <w:ind w:firstLine="420" w:firstLineChars="175"/>
        <w:rPr>
          <w:rFonts w:hAnsi="宋体"/>
          <w:sz w:val="24"/>
          <w:highlight w:val="none"/>
          <w:u w:val="single"/>
        </w:rPr>
      </w:pPr>
      <w:r>
        <w:rPr>
          <w:rFonts w:hAnsi="宋体"/>
          <w:sz w:val="24"/>
          <w:highlight w:val="none"/>
        </w:rPr>
        <w:t>日    期：</w:t>
      </w:r>
      <w:r>
        <w:rPr>
          <w:rFonts w:hint="eastAsia" w:hAnsi="宋体"/>
          <w:sz w:val="24"/>
          <w:highlight w:val="none"/>
        </w:rPr>
        <w:t xml:space="preserve">2021年 </w:t>
      </w:r>
      <w:r>
        <w:rPr>
          <w:rFonts w:hint="eastAsia" w:hAnsi="宋体"/>
          <w:sz w:val="24"/>
          <w:highlight w:val="none"/>
          <w:lang w:val="en-US" w:eastAsia="zh-CN"/>
        </w:rPr>
        <w:t>9</w:t>
      </w:r>
      <w:r>
        <w:rPr>
          <w:rFonts w:hint="eastAsia" w:hAnsi="宋体"/>
          <w:sz w:val="24"/>
          <w:highlight w:val="none"/>
        </w:rPr>
        <w:t xml:space="preserve"> 月 </w:t>
      </w:r>
      <w:r>
        <w:rPr>
          <w:rFonts w:hint="eastAsia" w:hAnsi="宋体"/>
          <w:sz w:val="24"/>
          <w:highlight w:val="none"/>
          <w:lang w:val="en-US" w:eastAsia="zh-CN"/>
        </w:rPr>
        <w:t>7</w:t>
      </w:r>
      <w:r>
        <w:rPr>
          <w:rFonts w:hint="eastAsia" w:hAnsi="宋体"/>
          <w:sz w:val="24"/>
          <w:highlight w:val="none"/>
        </w:rPr>
        <w:t xml:space="preserve"> 日</w:t>
      </w:r>
    </w:p>
    <w:bookmarkEnd w:id="12"/>
    <w:bookmarkEnd w:id="13"/>
    <w:bookmarkEnd w:id="14"/>
    <w:bookmarkEnd w:id="15"/>
    <w:bookmarkEnd w:id="16"/>
    <w:bookmarkEnd w:id="17"/>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rPr>
          <w:rFonts w:hAnsi="宋体"/>
          <w:kern w:val="2"/>
          <w:sz w:val="24"/>
          <w:szCs w:val="24"/>
          <w:highlight w:val="none"/>
        </w:rPr>
      </w:pPr>
    </w:p>
    <w:p>
      <w:pPr>
        <w:pStyle w:val="24"/>
        <w:spacing w:line="360" w:lineRule="auto"/>
        <w:ind w:right="480"/>
        <w:rPr>
          <w:rFonts w:hint="eastAsia" w:hAnsi="宋体"/>
          <w:kern w:val="2"/>
          <w:sz w:val="24"/>
          <w:szCs w:val="24"/>
          <w:highlight w:val="none"/>
        </w:rPr>
      </w:pPr>
    </w:p>
    <w:p>
      <w:pPr>
        <w:pStyle w:val="4"/>
        <w:spacing w:before="240" w:line="360" w:lineRule="auto"/>
        <w:rPr>
          <w:rFonts w:hint="eastAsia" w:ascii="宋体" w:hAnsi="宋体"/>
          <w:b w:val="0"/>
          <w:sz w:val="44"/>
          <w:szCs w:val="44"/>
          <w:highlight w:val="none"/>
        </w:rPr>
      </w:pPr>
      <w:bookmarkStart w:id="18" w:name="_Toc518494114"/>
      <w:bookmarkStart w:id="19" w:name="_Toc57731943"/>
    </w:p>
    <w:p>
      <w:pPr>
        <w:pStyle w:val="4"/>
        <w:spacing w:before="240" w:line="360" w:lineRule="auto"/>
        <w:rPr>
          <w:rFonts w:ascii="宋体" w:hAnsi="宋体"/>
          <w:b w:val="0"/>
          <w:sz w:val="44"/>
          <w:szCs w:val="44"/>
          <w:highlight w:val="none"/>
        </w:rPr>
      </w:pPr>
      <w:r>
        <w:rPr>
          <w:rFonts w:hint="eastAsia" w:ascii="宋体" w:hAnsi="宋体"/>
          <w:b w:val="0"/>
          <w:sz w:val="44"/>
          <w:szCs w:val="44"/>
          <w:highlight w:val="none"/>
        </w:rPr>
        <w:t>参选文件</w:t>
      </w:r>
      <w:bookmarkStart w:id="20" w:name="OLE_LINK1"/>
      <w:r>
        <w:rPr>
          <w:rFonts w:hint="eastAsia" w:ascii="宋体" w:hAnsi="宋体"/>
          <w:b w:val="0"/>
          <w:sz w:val="44"/>
          <w:szCs w:val="44"/>
          <w:highlight w:val="none"/>
        </w:rPr>
        <w:t>无效和废标的情形</w:t>
      </w:r>
      <w:bookmarkEnd w:id="20"/>
      <w:r>
        <w:rPr>
          <w:rFonts w:hint="eastAsia" w:ascii="宋体" w:hAnsi="宋体"/>
          <w:b w:val="0"/>
          <w:sz w:val="44"/>
          <w:szCs w:val="44"/>
          <w:highlight w:val="none"/>
        </w:rPr>
        <w:t>摘要</w:t>
      </w:r>
      <w:bookmarkEnd w:id="18"/>
      <w:bookmarkEnd w:id="19"/>
    </w:p>
    <w:p>
      <w:pPr>
        <w:pStyle w:val="24"/>
        <w:spacing w:line="360" w:lineRule="auto"/>
        <w:ind w:firstLine="482" w:firstLineChars="200"/>
        <w:rPr>
          <w:rFonts w:hAnsi="宋体"/>
          <w:b/>
          <w:bCs/>
          <w:sz w:val="24"/>
          <w:szCs w:val="36"/>
          <w:highlight w:val="none"/>
        </w:rPr>
      </w:pPr>
      <w:r>
        <w:rPr>
          <w:rFonts w:hint="eastAsia" w:hAnsi="宋体"/>
          <w:b/>
          <w:bCs/>
          <w:sz w:val="24"/>
          <w:szCs w:val="36"/>
          <w:highlight w:val="none"/>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highlight w:val="none"/>
        </w:rPr>
      </w:pPr>
      <w:r>
        <w:rPr>
          <w:rFonts w:hint="eastAsia" w:ascii="宋体" w:hAnsi="宋体"/>
          <w:b/>
          <w:sz w:val="24"/>
          <w:szCs w:val="24"/>
          <w:highlight w:val="none"/>
        </w:rPr>
        <w:t>一、参选文件不予受理的情形（由比选人负责判定）:</w:t>
      </w:r>
    </w:p>
    <w:p>
      <w:pPr>
        <w:spacing w:line="360" w:lineRule="auto"/>
        <w:ind w:left="480"/>
        <w:rPr>
          <w:rFonts w:ascii="宋体" w:hAnsi="宋体"/>
          <w:bCs/>
          <w:sz w:val="24"/>
          <w:szCs w:val="32"/>
          <w:highlight w:val="none"/>
          <w:u w:val="single"/>
        </w:rPr>
      </w:pPr>
      <w:r>
        <w:rPr>
          <w:rFonts w:hint="eastAsia" w:ascii="宋体" w:hAnsi="宋体"/>
          <w:sz w:val="24"/>
          <w:highlight w:val="none"/>
        </w:rPr>
        <w:t>1.</w:t>
      </w:r>
      <w:r>
        <w:rPr>
          <w:rFonts w:ascii="宋体" w:hAnsi="宋体"/>
          <w:sz w:val="24"/>
          <w:szCs w:val="24"/>
          <w:highlight w:val="none"/>
        </w:rPr>
        <w:t>参选文件在规定的参选截止时间以后送达的或者未送达指定地点的；</w:t>
      </w:r>
    </w:p>
    <w:p>
      <w:pPr>
        <w:spacing w:line="360" w:lineRule="auto"/>
        <w:ind w:left="480"/>
        <w:rPr>
          <w:rFonts w:ascii="宋体" w:hAnsi="宋体"/>
          <w:sz w:val="24"/>
          <w:highlight w:val="none"/>
        </w:rPr>
      </w:pPr>
      <w:r>
        <w:rPr>
          <w:rFonts w:hint="eastAsia" w:ascii="宋体" w:hAnsi="宋体"/>
          <w:bCs/>
          <w:sz w:val="24"/>
          <w:szCs w:val="24"/>
          <w:highlight w:val="none"/>
        </w:rPr>
        <w:t>2.参选文件</w:t>
      </w:r>
      <w:r>
        <w:rPr>
          <w:rFonts w:ascii="宋体" w:hAnsi="宋体"/>
          <w:bCs/>
          <w:sz w:val="24"/>
          <w:szCs w:val="24"/>
          <w:highlight w:val="none"/>
        </w:rPr>
        <w:t>未按规定封</w:t>
      </w:r>
      <w:r>
        <w:rPr>
          <w:rFonts w:hint="eastAsia" w:ascii="宋体" w:hAnsi="宋体"/>
          <w:bCs/>
          <w:sz w:val="24"/>
          <w:szCs w:val="24"/>
          <w:highlight w:val="none"/>
        </w:rPr>
        <w:t>装</w:t>
      </w:r>
      <w:r>
        <w:rPr>
          <w:rFonts w:ascii="宋体" w:hAnsi="宋体"/>
          <w:bCs/>
          <w:sz w:val="24"/>
          <w:szCs w:val="24"/>
          <w:highlight w:val="none"/>
        </w:rPr>
        <w:t>和加盖参选人公章的</w:t>
      </w:r>
      <w:r>
        <w:rPr>
          <w:rFonts w:hint="eastAsia" w:ascii="宋体" w:hAnsi="宋体"/>
          <w:sz w:val="24"/>
          <w:highlight w:val="none"/>
        </w:rPr>
        <w:t>。</w:t>
      </w:r>
    </w:p>
    <w:p>
      <w:pPr>
        <w:spacing w:line="360" w:lineRule="auto"/>
        <w:ind w:firstLine="480" w:firstLineChars="200"/>
        <w:rPr>
          <w:rFonts w:ascii="宋体" w:hAnsi="宋体"/>
          <w:b/>
          <w:sz w:val="24"/>
          <w:highlight w:val="none"/>
        </w:rPr>
      </w:pPr>
      <w:r>
        <w:rPr>
          <w:rFonts w:hint="eastAsia" w:ascii="宋体" w:hAnsi="宋体"/>
          <w:sz w:val="24"/>
          <w:szCs w:val="24"/>
          <w:highlight w:val="none"/>
        </w:rPr>
        <w:t>二、</w:t>
      </w:r>
      <w:r>
        <w:rPr>
          <w:rFonts w:hint="eastAsia" w:ascii="宋体" w:hAnsi="宋体"/>
          <w:b/>
          <w:sz w:val="24"/>
          <w:highlight w:val="none"/>
        </w:rPr>
        <w:t>参选文件有下列情形之一的，初步评审不合格，应作无效标处理</w:t>
      </w:r>
      <w:r>
        <w:rPr>
          <w:rFonts w:hint="eastAsia" w:ascii="宋体" w:hAnsi="宋体"/>
          <w:b/>
          <w:bCs/>
          <w:sz w:val="24"/>
          <w:szCs w:val="32"/>
          <w:highlight w:val="none"/>
        </w:rPr>
        <w:t>（由评标委员会负责判定）</w:t>
      </w:r>
      <w:r>
        <w:rPr>
          <w:rFonts w:hint="eastAsia" w:ascii="宋体" w:hAnsi="宋体"/>
          <w:b/>
          <w:sz w:val="24"/>
          <w:highlight w:val="none"/>
        </w:rPr>
        <w:t>:</w:t>
      </w:r>
    </w:p>
    <w:p>
      <w:pPr>
        <w:spacing w:line="360" w:lineRule="auto"/>
        <w:ind w:left="480"/>
        <w:rPr>
          <w:rFonts w:ascii="宋体" w:hAnsi="宋体"/>
          <w:sz w:val="24"/>
          <w:highlight w:val="none"/>
        </w:rPr>
      </w:pPr>
      <w:r>
        <w:rPr>
          <w:rFonts w:hint="eastAsia" w:ascii="宋体" w:hAnsi="宋体"/>
          <w:sz w:val="24"/>
          <w:highlight w:val="none"/>
        </w:rPr>
        <w:t>1．参选文件未按要求加盖参选人公章的；</w:t>
      </w:r>
    </w:p>
    <w:p>
      <w:pPr>
        <w:spacing w:line="360" w:lineRule="auto"/>
        <w:ind w:left="480"/>
        <w:rPr>
          <w:rFonts w:ascii="宋体" w:hAnsi="宋体"/>
          <w:sz w:val="24"/>
          <w:highlight w:val="none"/>
        </w:rPr>
      </w:pPr>
      <w:r>
        <w:rPr>
          <w:rFonts w:hint="eastAsia" w:ascii="宋体" w:hAnsi="宋体"/>
          <w:sz w:val="24"/>
          <w:highlight w:val="none"/>
        </w:rPr>
        <w:t>2．参选文件</w:t>
      </w:r>
      <w:r>
        <w:rPr>
          <w:rFonts w:ascii="宋体" w:hAnsi="宋体"/>
          <w:sz w:val="24"/>
          <w:highlight w:val="none"/>
        </w:rPr>
        <w:t>未经法定代表人或其委托代理人签字</w:t>
      </w:r>
      <w:r>
        <w:rPr>
          <w:rFonts w:hint="eastAsia" w:ascii="宋体" w:hAnsi="宋体"/>
          <w:sz w:val="24"/>
          <w:highlight w:val="none"/>
        </w:rPr>
        <w:t>或盖章</w:t>
      </w:r>
      <w:r>
        <w:rPr>
          <w:rFonts w:ascii="宋体" w:hAnsi="宋体"/>
          <w:sz w:val="24"/>
          <w:highlight w:val="none"/>
        </w:rPr>
        <w:t>的，或由委托代理人签字但未随参选文件一起提供“法定代表人授权书”原件的；</w:t>
      </w:r>
    </w:p>
    <w:p>
      <w:pPr>
        <w:spacing w:line="360" w:lineRule="auto"/>
        <w:ind w:left="480"/>
        <w:rPr>
          <w:rFonts w:ascii="宋体" w:hAnsi="宋体"/>
          <w:sz w:val="24"/>
          <w:highlight w:val="none"/>
        </w:rPr>
      </w:pPr>
      <w:r>
        <w:rPr>
          <w:rFonts w:hint="eastAsia" w:ascii="宋体" w:hAnsi="宋体"/>
          <w:sz w:val="24"/>
          <w:highlight w:val="none"/>
        </w:rPr>
        <w:t>3．对固定的参选格式文件内容进行了实质性修改，或加进额外的条件；</w:t>
      </w:r>
    </w:p>
    <w:p>
      <w:pPr>
        <w:spacing w:line="360" w:lineRule="auto"/>
        <w:ind w:left="480"/>
        <w:rPr>
          <w:rFonts w:ascii="宋体" w:hAnsi="宋体"/>
          <w:sz w:val="24"/>
          <w:highlight w:val="none"/>
        </w:rPr>
      </w:pPr>
      <w:r>
        <w:rPr>
          <w:rFonts w:hint="eastAsia" w:ascii="宋体" w:hAnsi="宋体"/>
          <w:sz w:val="24"/>
          <w:highlight w:val="none"/>
        </w:rPr>
        <w:t>4．</w:t>
      </w:r>
      <w:r>
        <w:rPr>
          <w:rFonts w:ascii="宋体" w:hAnsi="宋体"/>
          <w:sz w:val="24"/>
          <w:highlight w:val="none"/>
        </w:rPr>
        <w:t>参选函中的内容未按比选文件的</w:t>
      </w:r>
      <w:r>
        <w:rPr>
          <w:rFonts w:hint="eastAsia" w:ascii="宋体" w:hAnsi="宋体"/>
          <w:sz w:val="24"/>
          <w:highlight w:val="none"/>
        </w:rPr>
        <w:t>要求</w:t>
      </w:r>
      <w:r>
        <w:rPr>
          <w:rFonts w:ascii="宋体" w:hAnsi="宋体"/>
          <w:sz w:val="24"/>
          <w:highlight w:val="none"/>
        </w:rPr>
        <w:t>填写；</w:t>
      </w:r>
    </w:p>
    <w:p>
      <w:pPr>
        <w:spacing w:line="360" w:lineRule="auto"/>
        <w:ind w:left="480"/>
        <w:rPr>
          <w:rFonts w:hint="eastAsia" w:ascii="宋体" w:hAnsi="宋体"/>
          <w:sz w:val="24"/>
          <w:highlight w:val="none"/>
        </w:rPr>
      </w:pPr>
      <w:r>
        <w:rPr>
          <w:rFonts w:hint="eastAsia" w:ascii="宋体" w:hAnsi="宋体"/>
          <w:sz w:val="24"/>
          <w:highlight w:val="none"/>
        </w:rPr>
        <w:t>5．</w:t>
      </w:r>
      <w:r>
        <w:rPr>
          <w:rFonts w:ascii="宋体" w:hAnsi="宋体"/>
          <w:sz w:val="24"/>
          <w:highlight w:val="none"/>
        </w:rPr>
        <w:t>参选人的</w:t>
      </w:r>
      <w:r>
        <w:rPr>
          <w:rFonts w:hint="eastAsia" w:ascii="宋体" w:hAnsi="宋体"/>
          <w:sz w:val="24"/>
          <w:highlight w:val="none"/>
        </w:rPr>
        <w:t>报价超出本项目参选上限价或</w:t>
      </w:r>
      <w:r>
        <w:rPr>
          <w:rFonts w:ascii="宋体" w:hAnsi="宋体"/>
          <w:sz w:val="24"/>
          <w:highlight w:val="none"/>
        </w:rPr>
        <w:t>分项</w:t>
      </w:r>
      <w:r>
        <w:rPr>
          <w:rFonts w:hint="eastAsia" w:ascii="宋体" w:hAnsi="宋体"/>
          <w:sz w:val="24"/>
          <w:highlight w:val="none"/>
        </w:rPr>
        <w:t>报价</w:t>
      </w:r>
      <w:r>
        <w:rPr>
          <w:rFonts w:ascii="宋体" w:hAnsi="宋体"/>
          <w:sz w:val="24"/>
          <w:highlight w:val="none"/>
        </w:rPr>
        <w:t>上限</w:t>
      </w:r>
      <w:r>
        <w:rPr>
          <w:rFonts w:hint="eastAsia" w:ascii="宋体" w:hAnsi="宋体"/>
          <w:sz w:val="24"/>
          <w:highlight w:val="none"/>
        </w:rPr>
        <w:t>的；</w:t>
      </w:r>
    </w:p>
    <w:p>
      <w:pPr>
        <w:spacing w:line="360" w:lineRule="auto"/>
        <w:ind w:left="480"/>
        <w:rPr>
          <w:rFonts w:ascii="宋体" w:hAnsi="宋体"/>
          <w:sz w:val="24"/>
          <w:highlight w:val="none"/>
        </w:rPr>
      </w:pPr>
      <w:r>
        <w:rPr>
          <w:rFonts w:hint="eastAsia" w:ascii="宋体" w:hAnsi="宋体"/>
          <w:sz w:val="24"/>
          <w:highlight w:val="none"/>
        </w:rPr>
        <w:t>6．</w:t>
      </w:r>
      <w:r>
        <w:rPr>
          <w:rFonts w:ascii="宋体" w:hAnsi="宋体"/>
          <w:sz w:val="24"/>
          <w:highlight w:val="none"/>
        </w:rPr>
        <w:t>参选人的参选报价是可变动价格的，或包含了价格调整要求的，</w:t>
      </w:r>
      <w:r>
        <w:rPr>
          <w:rFonts w:hint="eastAsia" w:ascii="宋体" w:hAnsi="宋体"/>
          <w:sz w:val="24"/>
          <w:highlight w:val="none"/>
        </w:rPr>
        <w:t>或参选人递交两份或多份内容不同的报价文件，或在一份报价文件中对同一比选项目报有两个或多个报价，且未声明哪一个有效的；</w:t>
      </w:r>
    </w:p>
    <w:p>
      <w:pPr>
        <w:spacing w:line="360" w:lineRule="auto"/>
        <w:ind w:left="480"/>
        <w:rPr>
          <w:rFonts w:ascii="宋体" w:hAnsi="宋体"/>
          <w:sz w:val="24"/>
          <w:highlight w:val="none"/>
        </w:rPr>
      </w:pPr>
      <w:r>
        <w:rPr>
          <w:rFonts w:ascii="宋体" w:hAnsi="宋体"/>
          <w:sz w:val="24"/>
          <w:highlight w:val="none"/>
        </w:rPr>
        <w:t>7.</w:t>
      </w:r>
      <w:r>
        <w:rPr>
          <w:rFonts w:hint="eastAsia" w:ascii="宋体" w:hAnsi="宋体"/>
          <w:sz w:val="24"/>
          <w:highlight w:val="none"/>
        </w:rPr>
        <w:t>经审查</w:t>
      </w:r>
      <w:r>
        <w:rPr>
          <w:rFonts w:ascii="宋体" w:hAnsi="宋体"/>
          <w:sz w:val="24"/>
          <w:highlight w:val="none"/>
        </w:rPr>
        <w:t>参选人不符合资格要求的</w:t>
      </w:r>
      <w:r>
        <w:rPr>
          <w:rFonts w:hint="eastAsia" w:ascii="宋体" w:hAnsi="宋体"/>
          <w:sz w:val="24"/>
          <w:highlight w:val="none"/>
        </w:rPr>
        <w:t>。</w:t>
      </w:r>
    </w:p>
    <w:p>
      <w:pPr>
        <w:spacing w:line="360" w:lineRule="auto"/>
        <w:ind w:left="480"/>
        <w:rPr>
          <w:rFonts w:ascii="宋体" w:hAnsi="宋体"/>
          <w:b/>
          <w:sz w:val="24"/>
          <w:highlight w:val="none"/>
        </w:rPr>
      </w:pPr>
      <w:r>
        <w:rPr>
          <w:rFonts w:hint="eastAsia" w:ascii="宋体" w:hAnsi="宋体"/>
          <w:b/>
          <w:sz w:val="24"/>
          <w:highlight w:val="none"/>
        </w:rPr>
        <w:t>三、参选文件存在下列情形的，应作废标处理（由评标委员会负责判定）：</w:t>
      </w:r>
    </w:p>
    <w:p>
      <w:pPr>
        <w:spacing w:line="360" w:lineRule="auto"/>
        <w:ind w:left="480"/>
        <w:rPr>
          <w:rFonts w:ascii="宋体" w:hAnsi="宋体"/>
          <w:sz w:val="24"/>
          <w:highlight w:val="none"/>
        </w:rPr>
      </w:pPr>
      <w:r>
        <w:rPr>
          <w:rFonts w:hint="eastAsia" w:ascii="宋体" w:hAnsi="宋体"/>
          <w:sz w:val="24"/>
          <w:highlight w:val="none"/>
        </w:rPr>
        <w:t>1．参选人以他人的名义参选或出现串通参选、弄虚作假情形的：</w:t>
      </w:r>
    </w:p>
    <w:p>
      <w:pPr>
        <w:spacing w:line="360" w:lineRule="auto"/>
        <w:ind w:left="480"/>
        <w:rPr>
          <w:rFonts w:ascii="宋体" w:hAnsi="宋体"/>
          <w:sz w:val="24"/>
          <w:highlight w:val="none"/>
        </w:rPr>
      </w:pPr>
      <w:r>
        <w:rPr>
          <w:rFonts w:hint="eastAsia" w:ascii="宋体" w:hAnsi="宋体"/>
          <w:sz w:val="24"/>
          <w:highlight w:val="none"/>
        </w:rPr>
        <w:t>2．不同参选人的参选文件内容存在非正常一致的；</w:t>
      </w:r>
    </w:p>
    <w:p>
      <w:pPr>
        <w:spacing w:line="360" w:lineRule="auto"/>
        <w:ind w:left="480"/>
        <w:rPr>
          <w:rFonts w:ascii="宋体" w:hAnsi="宋体"/>
          <w:sz w:val="24"/>
          <w:highlight w:val="none"/>
        </w:rPr>
      </w:pPr>
      <w:r>
        <w:rPr>
          <w:rFonts w:hint="eastAsia" w:ascii="宋体" w:hAnsi="宋体"/>
          <w:sz w:val="24"/>
          <w:highlight w:val="none"/>
        </w:rPr>
        <w:t>3．不同参选人的参选文件错漏之处一致的；</w:t>
      </w:r>
    </w:p>
    <w:p>
      <w:pPr>
        <w:spacing w:line="360" w:lineRule="auto"/>
        <w:ind w:left="480"/>
        <w:rPr>
          <w:rFonts w:ascii="宋体" w:hAnsi="宋体"/>
          <w:sz w:val="24"/>
          <w:highlight w:val="none"/>
        </w:rPr>
      </w:pPr>
      <w:r>
        <w:rPr>
          <w:rFonts w:ascii="宋体" w:hAnsi="宋体"/>
          <w:sz w:val="24"/>
          <w:highlight w:val="none"/>
        </w:rPr>
        <w:t>4</w:t>
      </w:r>
      <w:r>
        <w:rPr>
          <w:rFonts w:hint="eastAsia" w:ascii="宋体" w:hAnsi="宋体"/>
          <w:sz w:val="24"/>
          <w:highlight w:val="none"/>
        </w:rPr>
        <w:t>．不同参选人的参选报价或者报价组成异常一致或者呈规律性变化的；</w:t>
      </w:r>
    </w:p>
    <w:p>
      <w:pPr>
        <w:spacing w:line="360" w:lineRule="auto"/>
        <w:ind w:left="480"/>
        <w:rPr>
          <w:rFonts w:ascii="宋体" w:hAnsi="宋体"/>
          <w:sz w:val="24"/>
          <w:highlight w:val="none"/>
        </w:rPr>
      </w:pPr>
      <w:r>
        <w:rPr>
          <w:rFonts w:ascii="宋体" w:hAnsi="宋体"/>
          <w:sz w:val="24"/>
          <w:highlight w:val="none"/>
        </w:rPr>
        <w:t>5</w:t>
      </w:r>
      <w:r>
        <w:rPr>
          <w:rFonts w:hint="eastAsia" w:ascii="宋体" w:hAnsi="宋体"/>
          <w:sz w:val="24"/>
          <w:highlight w:val="none"/>
        </w:rPr>
        <w:t>．不同参选人的参选文件由同一单位或者同一个人编制的；</w:t>
      </w:r>
    </w:p>
    <w:p>
      <w:pPr>
        <w:spacing w:line="360" w:lineRule="auto"/>
        <w:ind w:left="480"/>
        <w:rPr>
          <w:rFonts w:ascii="宋体" w:hAnsi="宋体"/>
          <w:sz w:val="24"/>
          <w:highlight w:val="none"/>
        </w:rPr>
      </w:pPr>
      <w:r>
        <w:rPr>
          <w:rFonts w:ascii="宋体" w:hAnsi="宋体"/>
          <w:sz w:val="24"/>
          <w:highlight w:val="none"/>
        </w:rPr>
        <w:t>6</w:t>
      </w:r>
      <w:r>
        <w:rPr>
          <w:rFonts w:hint="eastAsia" w:ascii="宋体" w:hAnsi="宋体"/>
          <w:sz w:val="24"/>
          <w:highlight w:val="none"/>
        </w:rPr>
        <w:t>．不同参选人的参选文件载明的项目负责人与主要技术人员出现同一人的；</w:t>
      </w:r>
    </w:p>
    <w:p>
      <w:pPr>
        <w:spacing w:line="360" w:lineRule="auto"/>
        <w:ind w:left="480"/>
        <w:rPr>
          <w:rFonts w:ascii="宋体" w:hAnsi="宋体"/>
          <w:sz w:val="24"/>
          <w:highlight w:val="none"/>
        </w:rPr>
      </w:pPr>
      <w:r>
        <w:rPr>
          <w:rFonts w:hint="eastAsia" w:ascii="宋体" w:hAnsi="宋体"/>
          <w:sz w:val="24"/>
          <w:highlight w:val="none"/>
        </w:rPr>
        <w:t>7．不同参选人的参选文件相互混装的；</w:t>
      </w:r>
    </w:p>
    <w:p>
      <w:pPr>
        <w:spacing w:line="360" w:lineRule="auto"/>
        <w:ind w:left="480"/>
        <w:rPr>
          <w:rFonts w:ascii="宋体" w:hAnsi="宋体"/>
          <w:sz w:val="24"/>
          <w:highlight w:val="none"/>
        </w:rPr>
      </w:pPr>
      <w:r>
        <w:rPr>
          <w:rFonts w:hint="eastAsia" w:ascii="宋体" w:hAnsi="宋体"/>
          <w:sz w:val="24"/>
          <w:highlight w:val="none"/>
        </w:rPr>
        <w:t>8．不同参选人委托同一人参选的；</w:t>
      </w:r>
    </w:p>
    <w:p>
      <w:pPr>
        <w:spacing w:line="360" w:lineRule="auto"/>
        <w:ind w:left="480"/>
        <w:rPr>
          <w:rFonts w:ascii="宋体" w:hAnsi="宋体"/>
          <w:sz w:val="24"/>
          <w:highlight w:val="none"/>
        </w:rPr>
      </w:pPr>
      <w:r>
        <w:rPr>
          <w:rFonts w:ascii="宋体" w:hAnsi="宋体"/>
          <w:sz w:val="24"/>
          <w:highlight w:val="none"/>
        </w:rPr>
        <w:t>9</w:t>
      </w:r>
      <w:r>
        <w:rPr>
          <w:rFonts w:hint="eastAsia" w:ascii="宋体" w:hAnsi="宋体"/>
          <w:sz w:val="24"/>
          <w:highlight w:val="none"/>
        </w:rPr>
        <w:t>．不同参选人聘请同一人为其参选提供技术或者经济咨询服务的，但比选项目本身要求采用专有技术的除外。</w:t>
      </w:r>
    </w:p>
    <w:p>
      <w:pPr>
        <w:spacing w:line="360" w:lineRule="auto"/>
        <w:ind w:left="480"/>
        <w:rPr>
          <w:rFonts w:ascii="宋体" w:hAnsi="宋体"/>
          <w:sz w:val="24"/>
          <w:highlight w:val="none"/>
        </w:rPr>
      </w:pPr>
      <w:r>
        <w:rPr>
          <w:rFonts w:ascii="宋体" w:hAnsi="宋体"/>
          <w:sz w:val="24"/>
          <w:highlight w:val="none"/>
        </w:rPr>
        <w:t>10</w:t>
      </w:r>
      <w:r>
        <w:rPr>
          <w:rFonts w:hint="eastAsia" w:ascii="宋体" w:hAnsi="宋体"/>
          <w:sz w:val="24"/>
          <w:highlight w:val="none"/>
        </w:rPr>
        <w:t>．参选人拒不按照评标委员会要求对参选文件进行澄清、说明、补正的。</w:t>
      </w:r>
    </w:p>
    <w:p>
      <w:pPr>
        <w:pStyle w:val="5"/>
        <w:spacing w:line="360" w:lineRule="auto"/>
        <w:jc w:val="both"/>
        <w:rPr>
          <w:rFonts w:hint="eastAsia" w:ascii="宋体" w:hAnsi="宋体" w:eastAsia="宋体"/>
          <w:b/>
          <w:highlight w:val="none"/>
        </w:rPr>
      </w:pPr>
      <w:bookmarkStart w:id="21" w:name="_Toc57731944"/>
      <w:bookmarkStart w:id="22" w:name="_Toc434234570"/>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spacing w:line="360" w:lineRule="auto"/>
        <w:rPr>
          <w:rFonts w:hint="eastAsia" w:ascii="宋体" w:hAnsi="宋体"/>
          <w:b/>
          <w:highlight w:val="none"/>
        </w:rPr>
      </w:pPr>
    </w:p>
    <w:p>
      <w:pPr>
        <w:pStyle w:val="5"/>
        <w:spacing w:line="360" w:lineRule="auto"/>
        <w:rPr>
          <w:rFonts w:hint="eastAsia" w:ascii="宋体" w:hAnsi="宋体" w:eastAsia="宋体"/>
          <w:b/>
          <w:sz w:val="44"/>
          <w:szCs w:val="44"/>
          <w:highlight w:val="none"/>
        </w:rPr>
      </w:pPr>
      <w:r>
        <w:rPr>
          <w:rFonts w:hint="eastAsia" w:ascii="宋体" w:hAnsi="宋体" w:eastAsia="宋体"/>
          <w:b/>
          <w:sz w:val="44"/>
          <w:szCs w:val="44"/>
          <w:highlight w:val="none"/>
        </w:rPr>
        <w:t>比选公告</w:t>
      </w:r>
      <w:bookmarkEnd w:id="21"/>
      <w:bookmarkEnd w:id="22"/>
    </w:p>
    <w:p>
      <w:pPr>
        <w:pStyle w:val="24"/>
        <w:spacing w:line="360" w:lineRule="auto"/>
        <w:ind w:firstLine="480" w:firstLineChars="200"/>
        <w:jc w:val="left"/>
        <w:rPr>
          <w:rFonts w:hAnsi="宋体"/>
          <w:kern w:val="2"/>
          <w:sz w:val="24"/>
          <w:szCs w:val="24"/>
          <w:highlight w:val="none"/>
        </w:rPr>
      </w:pPr>
      <w:r>
        <w:rPr>
          <w:rFonts w:hint="eastAsia" w:hAnsi="宋体"/>
          <w:sz w:val="24"/>
          <w:szCs w:val="24"/>
          <w:highlight w:val="none"/>
        </w:rPr>
        <w:t>深圳市地铁集团有限公司拟对</w:t>
      </w:r>
      <w:r>
        <w:rPr>
          <w:rFonts w:hint="eastAsia" w:hAnsi="宋体" w:eastAsia="宋体" w:cs="Times New Roman"/>
          <w:b/>
          <w:bCs/>
          <w:sz w:val="24"/>
          <w:szCs w:val="22"/>
          <w:highlight w:val="none"/>
          <w:u w:val="single"/>
        </w:rPr>
        <w:t>深铁瑞城系列营销活动与现场包装服</w:t>
      </w:r>
      <w:r>
        <w:rPr>
          <w:rFonts w:hint="eastAsia" w:hAnsi="宋体"/>
          <w:b/>
          <w:bCs/>
          <w:sz w:val="24"/>
          <w:szCs w:val="22"/>
          <w:highlight w:val="none"/>
          <w:u w:val="single"/>
        </w:rPr>
        <w:t>务</w:t>
      </w:r>
      <w:r>
        <w:rPr>
          <w:rFonts w:hint="eastAsia" w:hAnsi="宋体"/>
          <w:b/>
          <w:sz w:val="24"/>
          <w:szCs w:val="24"/>
          <w:highlight w:val="none"/>
        </w:rPr>
        <w:t>（以下</w:t>
      </w:r>
      <w:r>
        <w:rPr>
          <w:rFonts w:hAnsi="宋体"/>
          <w:b/>
          <w:sz w:val="24"/>
          <w:szCs w:val="24"/>
          <w:highlight w:val="none"/>
        </w:rPr>
        <w:t>简称“本项目”）</w:t>
      </w:r>
      <w:r>
        <w:rPr>
          <w:rFonts w:hint="eastAsia" w:hAnsi="宋体"/>
          <w:sz w:val="24"/>
          <w:szCs w:val="24"/>
          <w:highlight w:val="none"/>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23" w:name="_Toc57731945"/>
      <w:r>
        <w:rPr>
          <w:rFonts w:hint="eastAsia" w:ascii="宋体" w:hAnsi="宋体"/>
          <w:b/>
          <w:kern w:val="0"/>
          <w:sz w:val="24"/>
          <w:szCs w:val="24"/>
          <w:highlight w:val="none"/>
        </w:rPr>
        <w:t>一、项目名称</w:t>
      </w:r>
      <w:bookmarkEnd w:id="23"/>
    </w:p>
    <w:p>
      <w:pPr>
        <w:spacing w:line="360" w:lineRule="auto"/>
        <w:ind w:left="479" w:leftChars="228"/>
        <w:rPr>
          <w:rFonts w:hint="eastAsia" w:ascii="宋体" w:hAnsi="宋体"/>
          <w:sz w:val="24"/>
          <w:szCs w:val="24"/>
          <w:highlight w:val="none"/>
        </w:rPr>
      </w:pPr>
      <w:r>
        <w:rPr>
          <w:rFonts w:hint="eastAsia" w:ascii="宋体" w:hAnsi="宋体" w:eastAsia="宋体" w:cs="Times New Roman"/>
          <w:sz w:val="24"/>
          <w:szCs w:val="24"/>
          <w:highlight w:val="none"/>
        </w:rPr>
        <w:t>深铁瑞城系列营销活动与现场包装服</w:t>
      </w:r>
      <w:r>
        <w:rPr>
          <w:rFonts w:hint="eastAsia" w:ascii="宋体" w:hAnsi="宋体"/>
          <w:sz w:val="24"/>
          <w:szCs w:val="24"/>
          <w:highlight w:val="none"/>
        </w:rPr>
        <w:t>务</w:t>
      </w:r>
      <w:bookmarkStart w:id="24" w:name="_Toc57731946"/>
    </w:p>
    <w:p>
      <w:pPr>
        <w:spacing w:line="360" w:lineRule="auto"/>
        <w:ind w:left="479" w:leftChars="228"/>
        <w:rPr>
          <w:rFonts w:hint="eastAsia" w:ascii="宋体" w:hAnsi="宋体"/>
          <w:b/>
          <w:kern w:val="0"/>
          <w:sz w:val="24"/>
          <w:szCs w:val="24"/>
          <w:highlight w:val="none"/>
        </w:rPr>
      </w:pPr>
      <w:r>
        <w:rPr>
          <w:rFonts w:hint="eastAsia" w:ascii="宋体" w:hAnsi="宋体"/>
          <w:b/>
          <w:kern w:val="0"/>
          <w:sz w:val="24"/>
          <w:szCs w:val="24"/>
          <w:highlight w:val="none"/>
        </w:rPr>
        <w:t>二、比选内容</w:t>
      </w:r>
      <w:bookmarkEnd w:id="24"/>
      <w:bookmarkStart w:id="25" w:name="_Toc57731947"/>
    </w:p>
    <w:p>
      <w:pPr>
        <w:spacing w:line="24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深铁瑞城系列营销活动与现场包装服务包含但不限于展示中心开放活动策划及执行、系列暖场活动策划及执行、宣传推广、现场包装相关</w:t>
      </w:r>
      <w:r>
        <w:rPr>
          <w:rFonts w:ascii="仿宋" w:hAnsi="仿宋" w:eastAsia="仿宋" w:cs="仿宋"/>
          <w:color w:val="000000"/>
          <w:sz w:val="32"/>
          <w:szCs w:val="32"/>
          <w:highlight w:val="none"/>
        </w:rPr>
        <w:t>物料</w:t>
      </w:r>
      <w:r>
        <w:rPr>
          <w:rFonts w:hint="eastAsia" w:ascii="仿宋" w:hAnsi="仿宋" w:eastAsia="仿宋" w:cs="仿宋"/>
          <w:color w:val="000000"/>
          <w:sz w:val="32"/>
          <w:szCs w:val="32"/>
          <w:highlight w:val="none"/>
        </w:rPr>
        <w:t>采购、设计制作与执行、相关活动的收尾</w:t>
      </w:r>
      <w:r>
        <w:rPr>
          <w:rFonts w:ascii="仿宋" w:hAnsi="仿宋" w:eastAsia="仿宋" w:cs="仿宋"/>
          <w:color w:val="000000"/>
          <w:sz w:val="32"/>
          <w:szCs w:val="32"/>
          <w:highlight w:val="none"/>
        </w:rPr>
        <w:t>撤场等</w:t>
      </w:r>
      <w:r>
        <w:rPr>
          <w:rFonts w:hint="eastAsia" w:ascii="仿宋" w:hAnsi="仿宋" w:eastAsia="仿宋" w:cs="仿宋"/>
          <w:color w:val="000000"/>
          <w:sz w:val="32"/>
          <w:szCs w:val="32"/>
          <w:highlight w:val="none"/>
        </w:rPr>
        <w:t>内容</w:t>
      </w:r>
      <w:r>
        <w:rPr>
          <w:rFonts w:ascii="仿宋" w:hAnsi="仿宋" w:eastAsia="仿宋" w:cs="仿宋"/>
          <w:color w:val="000000"/>
          <w:sz w:val="32"/>
          <w:szCs w:val="32"/>
          <w:highlight w:val="none"/>
        </w:rPr>
        <w:t>，</w:t>
      </w:r>
      <w:r>
        <w:rPr>
          <w:rFonts w:hint="eastAsia" w:ascii="仿宋" w:hAnsi="仿宋" w:eastAsia="仿宋" w:cs="仿宋"/>
          <w:color w:val="000000"/>
          <w:sz w:val="32"/>
          <w:szCs w:val="32"/>
          <w:highlight w:val="none"/>
        </w:rPr>
        <w:t>具体要求</w:t>
      </w:r>
      <w:r>
        <w:rPr>
          <w:rFonts w:ascii="仿宋" w:hAnsi="仿宋" w:eastAsia="仿宋" w:cs="仿宋"/>
          <w:color w:val="000000"/>
          <w:sz w:val="32"/>
          <w:szCs w:val="32"/>
          <w:highlight w:val="none"/>
        </w:rPr>
        <w:t>如下</w:t>
      </w:r>
      <w:r>
        <w:rPr>
          <w:rFonts w:hint="eastAsia" w:ascii="仿宋" w:hAnsi="仿宋" w:eastAsia="仿宋" w:cs="仿宋"/>
          <w:color w:val="000000"/>
          <w:sz w:val="32"/>
          <w:szCs w:val="32"/>
          <w:highlight w:val="none"/>
        </w:rPr>
        <w:t xml:space="preserve">： </w:t>
      </w:r>
    </w:p>
    <w:p>
      <w:pPr>
        <w:spacing w:line="24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（一）展示中心开放活动部分</w:t>
      </w:r>
    </w:p>
    <w:p>
      <w:pPr>
        <w:spacing w:line="240" w:lineRule="auto"/>
        <w:ind w:firstLine="640" w:firstLineChars="200"/>
        <w:rPr>
          <w:rFonts w:ascii="仿宋" w:hAnsi="仿宋" w:eastAsia="仿宋" w:cs="仿宋"/>
          <w:color w:val="000000"/>
          <w:sz w:val="32"/>
          <w:szCs w:val="32"/>
          <w:highlight w:val="none"/>
        </w:rPr>
      </w:pPr>
      <w:r>
        <w:rPr>
          <w:rFonts w:hint="eastAsia" w:ascii="仿宋" w:hAnsi="仿宋" w:eastAsia="仿宋" w:cs="仿宋"/>
          <w:color w:val="000000"/>
          <w:sz w:val="32"/>
          <w:szCs w:val="32"/>
          <w:highlight w:val="none"/>
        </w:rPr>
        <w:t>深铁瑞城暂定2021年9月底开放展示中心，选取项目展示中心现场作为活动场地，开放活动需富有仪式感及特色，主题鲜明，突出项目品质与TOD大城氛围，包括但不限于有：创意签到与开放仪式、现场</w:t>
      </w:r>
      <w:r>
        <w:rPr>
          <w:rFonts w:ascii="仿宋" w:hAnsi="仿宋" w:eastAsia="仿宋" w:cs="仿宋"/>
          <w:color w:val="000000"/>
          <w:sz w:val="32"/>
          <w:szCs w:val="32"/>
          <w:highlight w:val="none"/>
        </w:rPr>
        <w:t>暖场表演</w:t>
      </w:r>
      <w:r>
        <w:rPr>
          <w:rFonts w:hint="eastAsia" w:ascii="仿宋" w:hAnsi="仿宋" w:eastAsia="仿宋" w:cs="仿宋"/>
          <w:color w:val="000000"/>
          <w:sz w:val="32"/>
          <w:szCs w:val="32"/>
          <w:highlight w:val="none"/>
        </w:rPr>
        <w:t>、媒体互动交流形式及伴手礼、活动氛围营造及包装，同时出于扩大项目影响力的考虑，本次方案中还需提供深铁瑞城宣传推广服务方案。</w:t>
      </w:r>
    </w:p>
    <w:p>
      <w:pPr>
        <w:ind w:firstLine="643" w:firstLineChars="200"/>
        <w:rPr>
          <w:rFonts w:hint="eastAsia" w:ascii="楷体" w:hAnsi="楷体" w:eastAsia="楷体" w:cs="楷体"/>
          <w:b/>
          <w:bCs/>
          <w:color w:val="000000"/>
          <w:sz w:val="32"/>
          <w:szCs w:val="32"/>
          <w:highlight w:val="none"/>
        </w:rPr>
      </w:pPr>
      <w:r>
        <w:rPr>
          <w:rFonts w:hint="eastAsia" w:ascii="楷体" w:hAnsi="楷体" w:eastAsia="楷体" w:cs="楷体"/>
          <w:b/>
          <w:bCs/>
          <w:color w:val="000000"/>
          <w:sz w:val="32"/>
          <w:szCs w:val="32"/>
          <w:highlight w:val="none"/>
        </w:rPr>
        <w:t>1、活动规模及流程</w:t>
      </w:r>
    </w:p>
    <w:p>
      <w:pPr>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活动预计邀请</w:t>
      </w:r>
      <w:r>
        <w:rPr>
          <w:rFonts w:hint="eastAsia" w:ascii="仿宋" w:hAnsi="仿宋" w:eastAsia="仿宋" w:cs="仿宋"/>
          <w:color w:val="000000"/>
          <w:sz w:val="32"/>
          <w:szCs w:val="32"/>
          <w:highlight w:val="none"/>
          <w:lang w:val="en-US" w:eastAsia="zh-CN"/>
        </w:rPr>
        <w:t>行业主流</w:t>
      </w:r>
      <w:r>
        <w:rPr>
          <w:rFonts w:hint="eastAsia" w:ascii="仿宋" w:hAnsi="仿宋" w:eastAsia="仿宋" w:cs="仿宋"/>
          <w:color w:val="000000"/>
          <w:sz w:val="32"/>
          <w:szCs w:val="32"/>
          <w:highlight w:val="none"/>
        </w:rPr>
        <w:t>媒体嘉宾</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lang w:val="en-US" w:eastAsia="zh-CN"/>
        </w:rPr>
        <w:t>控制在100家以内</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val="en-US" w:eastAsia="zh-CN"/>
        </w:rPr>
        <w:t>活动</w:t>
      </w:r>
      <w:r>
        <w:rPr>
          <w:rFonts w:hint="eastAsia" w:ascii="仿宋" w:hAnsi="仿宋" w:eastAsia="仿宋" w:cs="仿宋"/>
          <w:color w:val="000000"/>
          <w:sz w:val="32"/>
          <w:szCs w:val="32"/>
          <w:highlight w:val="none"/>
        </w:rPr>
        <w:t>到场人数</w:t>
      </w:r>
      <w:r>
        <w:rPr>
          <w:rFonts w:hint="eastAsia" w:ascii="仿宋" w:hAnsi="仿宋" w:eastAsia="仿宋" w:cs="仿宋"/>
          <w:color w:val="000000"/>
          <w:sz w:val="32"/>
          <w:szCs w:val="32"/>
          <w:highlight w:val="none"/>
          <w:lang w:val="en-US" w:eastAsia="zh-CN"/>
        </w:rPr>
        <w:t>预计</w:t>
      </w:r>
      <w:r>
        <w:rPr>
          <w:rFonts w:hint="eastAsia" w:ascii="仿宋" w:hAnsi="仿宋" w:eastAsia="仿宋" w:cs="仿宋"/>
          <w:color w:val="000000"/>
          <w:sz w:val="32"/>
          <w:szCs w:val="32"/>
          <w:highlight w:val="none"/>
        </w:rPr>
        <w:t>150人</w:t>
      </w:r>
      <w:r>
        <w:rPr>
          <w:rFonts w:hint="eastAsia" w:ascii="仿宋" w:hAnsi="仿宋" w:eastAsia="仿宋" w:cs="仿宋"/>
          <w:color w:val="000000"/>
          <w:sz w:val="32"/>
          <w:szCs w:val="32"/>
          <w:highlight w:val="none"/>
          <w:lang w:val="en-US" w:eastAsia="zh-CN"/>
        </w:rPr>
        <w:t>左右</w:t>
      </w:r>
      <w:r>
        <w:rPr>
          <w:rFonts w:hint="eastAsia" w:ascii="仿宋" w:hAnsi="仿宋" w:eastAsia="仿宋" w:cs="仿宋"/>
          <w:color w:val="000000"/>
          <w:sz w:val="32"/>
          <w:szCs w:val="32"/>
          <w:highlight w:val="none"/>
          <w:u w:val="none"/>
        </w:rPr>
        <w:t>，需</w:t>
      </w:r>
      <w:r>
        <w:rPr>
          <w:rFonts w:hint="eastAsia" w:ascii="仿宋" w:hAnsi="仿宋" w:eastAsia="仿宋" w:cs="仿宋"/>
          <w:color w:val="000000"/>
          <w:sz w:val="32"/>
          <w:szCs w:val="32"/>
          <w:highlight w:val="none"/>
          <w:u w:val="none"/>
          <w:lang w:val="en-US" w:eastAsia="zh-CN"/>
        </w:rPr>
        <w:t>活动公司</w:t>
      </w:r>
      <w:r>
        <w:rPr>
          <w:rFonts w:hint="eastAsia" w:ascii="仿宋" w:hAnsi="仿宋" w:eastAsia="仿宋" w:cs="仿宋"/>
          <w:color w:val="000000"/>
          <w:sz w:val="32"/>
          <w:szCs w:val="32"/>
          <w:highlight w:val="none"/>
          <w:u w:val="none"/>
        </w:rPr>
        <w:t>包装</w:t>
      </w:r>
      <w:r>
        <w:rPr>
          <w:rFonts w:hint="eastAsia" w:ascii="仿宋" w:hAnsi="仿宋" w:eastAsia="仿宋" w:cs="仿宋"/>
          <w:color w:val="000000"/>
          <w:sz w:val="32"/>
          <w:szCs w:val="32"/>
          <w:highlight w:val="none"/>
          <w:u w:val="none"/>
          <w:lang w:val="en-US" w:eastAsia="zh-CN"/>
        </w:rPr>
        <w:t>园林</w:t>
      </w:r>
      <w:r>
        <w:rPr>
          <w:rFonts w:hint="eastAsia" w:ascii="仿宋" w:hAnsi="仿宋" w:eastAsia="仿宋" w:cs="仿宋"/>
          <w:color w:val="000000"/>
          <w:sz w:val="32"/>
          <w:szCs w:val="32"/>
          <w:highlight w:val="none"/>
          <w:lang w:val="en-US" w:eastAsia="zh-CN"/>
        </w:rPr>
        <w:t>示范区、展示中心、样板房区域</w:t>
      </w:r>
      <w:r>
        <w:rPr>
          <w:rFonts w:hint="eastAsia" w:ascii="仿宋" w:hAnsi="仿宋" w:eastAsia="仿宋" w:cs="仿宋"/>
          <w:color w:val="000000"/>
          <w:sz w:val="32"/>
          <w:szCs w:val="32"/>
          <w:highlight w:val="none"/>
        </w:rPr>
        <w:t>，</w:t>
      </w:r>
      <w:r>
        <w:rPr>
          <w:rFonts w:hint="eastAsia" w:ascii="仿宋" w:hAnsi="仿宋" w:eastAsia="仿宋" w:cs="仿宋"/>
          <w:color w:val="000000"/>
          <w:sz w:val="32"/>
          <w:szCs w:val="32"/>
          <w:highlight w:val="none"/>
          <w:lang w:val="en-US" w:eastAsia="zh-CN"/>
        </w:rPr>
        <w:t>同时做好外围导视，</w:t>
      </w:r>
      <w:r>
        <w:rPr>
          <w:rFonts w:hint="eastAsia" w:ascii="仿宋" w:hAnsi="仿宋" w:eastAsia="仿宋" w:cs="仿宋"/>
          <w:color w:val="000000"/>
          <w:sz w:val="32"/>
          <w:szCs w:val="32"/>
          <w:highlight w:val="none"/>
        </w:rPr>
        <w:t>活动流程如下：</w:t>
      </w:r>
    </w:p>
    <w:tbl>
      <w:tblPr>
        <w:tblStyle w:val="47"/>
        <w:tblW w:w="9598"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56"/>
        <w:gridCol w:w="2090"/>
        <w:gridCol w:w="4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shd w:val="clear" w:color="auto" w:fill="BEBEBE"/>
            <w:noWrap w:val="0"/>
            <w:tcMar>
              <w:left w:w="108" w:type="dxa"/>
              <w:right w:w="108" w:type="dxa"/>
            </w:tcMar>
            <w:vAlign w:val="center"/>
          </w:tcPr>
          <w:p>
            <w:pPr>
              <w:pStyle w:val="43"/>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b/>
                <w:bCs/>
                <w:color w:val="000000"/>
                <w:sz w:val="21"/>
                <w:szCs w:val="21"/>
                <w:highlight w:val="none"/>
              </w:rPr>
              <w:t>时间</w:t>
            </w:r>
          </w:p>
        </w:tc>
        <w:tc>
          <w:tcPr>
            <w:tcW w:w="2090" w:type="dxa"/>
            <w:shd w:val="clear" w:color="auto" w:fill="BEBEBE"/>
            <w:noWrap w:val="0"/>
            <w:tcMar>
              <w:left w:w="108" w:type="dxa"/>
              <w:right w:w="108" w:type="dxa"/>
            </w:tcMar>
            <w:vAlign w:val="center"/>
          </w:tcPr>
          <w:p>
            <w:pPr>
              <w:pStyle w:val="43"/>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b/>
                <w:bCs/>
                <w:color w:val="000000"/>
                <w:sz w:val="21"/>
                <w:szCs w:val="21"/>
                <w:highlight w:val="none"/>
              </w:rPr>
              <w:t>流程项</w:t>
            </w:r>
          </w:p>
        </w:tc>
        <w:tc>
          <w:tcPr>
            <w:tcW w:w="4952" w:type="dxa"/>
            <w:shd w:val="clear" w:color="auto" w:fill="BEBEBE"/>
            <w:noWrap w:val="0"/>
            <w:tcMar>
              <w:left w:w="108" w:type="dxa"/>
              <w:right w:w="108" w:type="dxa"/>
            </w:tcMar>
            <w:vAlign w:val="center"/>
          </w:tcPr>
          <w:p>
            <w:pPr>
              <w:pStyle w:val="43"/>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b/>
                <w:bCs/>
                <w:color w:val="000000"/>
                <w:sz w:val="21"/>
                <w:szCs w:val="21"/>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9：30-10：00</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lang w:val="en-US" w:eastAsia="zh-CN"/>
              </w:rPr>
              <w:t>媒体、</w:t>
            </w:r>
            <w:r>
              <w:rPr>
                <w:rFonts w:hint="eastAsia" w:ascii="微软雅黑" w:hAnsi="微软雅黑" w:eastAsia="微软雅黑" w:cs="微软雅黑"/>
                <w:color w:val="000000"/>
                <w:sz w:val="21"/>
                <w:szCs w:val="21"/>
                <w:highlight w:val="none"/>
              </w:rPr>
              <w:t>嘉宾签到、</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嘉宾签到，</w:t>
            </w:r>
            <w:r>
              <w:rPr>
                <w:rFonts w:hint="eastAsia" w:ascii="微软雅黑" w:hAnsi="微软雅黑" w:eastAsia="微软雅黑" w:cs="微软雅黑"/>
                <w:color w:val="000000"/>
                <w:sz w:val="21"/>
                <w:szCs w:val="21"/>
                <w:highlight w:val="none"/>
                <w:lang w:val="en-US" w:eastAsia="zh-CN"/>
              </w:rPr>
              <w:t>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10：00-10：</w:t>
            </w:r>
            <w:r>
              <w:rPr>
                <w:rFonts w:hint="eastAsia" w:ascii="微软雅黑" w:hAnsi="微软雅黑" w:eastAsia="微软雅黑" w:cs="微软雅黑"/>
                <w:color w:val="000000"/>
                <w:sz w:val="21"/>
                <w:szCs w:val="21"/>
                <w:highlight w:val="none"/>
                <w:lang w:eastAsia="zh-CN"/>
              </w:rPr>
              <w:t>0</w:t>
            </w:r>
            <w:r>
              <w:rPr>
                <w:rFonts w:hint="eastAsia" w:ascii="微软雅黑" w:hAnsi="微软雅黑" w:eastAsia="微软雅黑" w:cs="微软雅黑"/>
                <w:color w:val="000000"/>
                <w:sz w:val="21"/>
                <w:szCs w:val="21"/>
                <w:highlight w:val="none"/>
              </w:rPr>
              <w:t>5</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lang w:val="en-US" w:eastAsia="zh-CN"/>
              </w:rPr>
              <w:t>开场表演</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主持人开场、</w:t>
            </w:r>
            <w:r>
              <w:rPr>
                <w:rFonts w:hint="eastAsia" w:ascii="微软雅黑" w:hAnsi="微软雅黑" w:eastAsia="微软雅黑" w:cs="微软雅黑"/>
                <w:color w:val="000000"/>
                <w:sz w:val="21"/>
                <w:szCs w:val="21"/>
                <w:highlight w:val="none"/>
                <w:lang w:val="en-US" w:eastAsia="zh-CN"/>
              </w:rPr>
              <w:t>开场表演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10：0</w:t>
            </w:r>
            <w:r>
              <w:rPr>
                <w:rFonts w:hint="eastAsia" w:ascii="微软雅黑" w:hAnsi="微软雅黑" w:eastAsia="微软雅黑" w:cs="微软雅黑"/>
                <w:color w:val="000000"/>
                <w:sz w:val="21"/>
                <w:szCs w:val="21"/>
                <w:highlight w:val="none"/>
                <w:lang w:val="en-US" w:eastAsia="zh-CN"/>
              </w:rPr>
              <w:t>5</w:t>
            </w:r>
            <w:r>
              <w:rPr>
                <w:rFonts w:hint="eastAsia" w:ascii="微软雅黑" w:hAnsi="微软雅黑" w:eastAsia="微软雅黑" w:cs="微软雅黑"/>
                <w:color w:val="000000"/>
                <w:sz w:val="21"/>
                <w:szCs w:val="21"/>
                <w:highlight w:val="none"/>
              </w:rPr>
              <w:t>-10：</w:t>
            </w:r>
            <w:r>
              <w:rPr>
                <w:rFonts w:hint="eastAsia" w:ascii="微软雅黑" w:hAnsi="微软雅黑" w:eastAsia="微软雅黑" w:cs="微软雅黑"/>
                <w:color w:val="000000"/>
                <w:sz w:val="21"/>
                <w:szCs w:val="21"/>
                <w:highlight w:val="none"/>
                <w:lang w:val="en-US" w:eastAsia="zh-CN"/>
              </w:rPr>
              <w:t>10</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领导发言</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主持人开场、领导致辞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1</w:t>
            </w:r>
            <w:r>
              <w:rPr>
                <w:rFonts w:hint="eastAsia" w:ascii="微软雅黑" w:hAnsi="微软雅黑" w:eastAsia="微软雅黑" w:cs="微软雅黑"/>
                <w:color w:val="000000"/>
                <w:sz w:val="21"/>
                <w:szCs w:val="21"/>
                <w:highlight w:val="none"/>
                <w:lang w:eastAsia="zh-CN"/>
              </w:rPr>
              <w:t>0</w:t>
            </w:r>
            <w:r>
              <w:rPr>
                <w:rFonts w:hint="eastAsia" w:ascii="微软雅黑" w:hAnsi="微软雅黑" w:eastAsia="微软雅黑" w:cs="微软雅黑"/>
                <w:color w:val="000000"/>
                <w:sz w:val="21"/>
                <w:szCs w:val="21"/>
                <w:highlight w:val="none"/>
              </w:rPr>
              <w:t>：</w:t>
            </w:r>
            <w:r>
              <w:rPr>
                <w:rFonts w:hint="eastAsia" w:ascii="微软雅黑" w:hAnsi="微软雅黑" w:eastAsia="微软雅黑" w:cs="微软雅黑"/>
                <w:color w:val="000000"/>
                <w:sz w:val="21"/>
                <w:szCs w:val="21"/>
                <w:highlight w:val="none"/>
                <w:lang w:eastAsia="zh-CN"/>
              </w:rPr>
              <w:t>1</w:t>
            </w:r>
            <w:r>
              <w:rPr>
                <w:rFonts w:hint="eastAsia" w:ascii="微软雅黑" w:hAnsi="微软雅黑" w:eastAsia="微软雅黑" w:cs="微软雅黑"/>
                <w:color w:val="000000"/>
                <w:sz w:val="21"/>
                <w:szCs w:val="21"/>
                <w:highlight w:val="none"/>
              </w:rPr>
              <w:t>0-1</w:t>
            </w:r>
            <w:r>
              <w:rPr>
                <w:rFonts w:hint="eastAsia" w:ascii="微软雅黑" w:hAnsi="微软雅黑" w:eastAsia="微软雅黑" w:cs="微软雅黑"/>
                <w:color w:val="000000"/>
                <w:sz w:val="21"/>
                <w:szCs w:val="21"/>
                <w:highlight w:val="none"/>
                <w:lang w:eastAsia="zh-CN"/>
              </w:rPr>
              <w:t>0</w:t>
            </w:r>
            <w:r>
              <w:rPr>
                <w:rFonts w:hint="eastAsia" w:ascii="微软雅黑" w:hAnsi="微软雅黑" w:eastAsia="微软雅黑" w:cs="微软雅黑"/>
                <w:color w:val="000000"/>
                <w:sz w:val="21"/>
                <w:szCs w:val="21"/>
                <w:highlight w:val="none"/>
              </w:rPr>
              <w:t>：</w:t>
            </w:r>
            <w:r>
              <w:rPr>
                <w:rFonts w:hint="eastAsia" w:ascii="微软雅黑" w:hAnsi="微软雅黑" w:eastAsia="微软雅黑" w:cs="微软雅黑"/>
                <w:color w:val="000000"/>
                <w:sz w:val="21"/>
                <w:szCs w:val="21"/>
                <w:highlight w:val="none"/>
                <w:lang w:eastAsia="zh-CN"/>
              </w:rPr>
              <w:t>3</w:t>
            </w:r>
            <w:r>
              <w:rPr>
                <w:rFonts w:hint="eastAsia" w:ascii="微软雅黑" w:hAnsi="微软雅黑" w:eastAsia="微软雅黑" w:cs="微软雅黑"/>
                <w:color w:val="000000"/>
                <w:sz w:val="21"/>
                <w:szCs w:val="21"/>
                <w:highlight w:val="none"/>
              </w:rPr>
              <w:t>0</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项目推荐</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项目代表上台讲解项目价值及影视片播放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1</w:t>
            </w:r>
            <w:r>
              <w:rPr>
                <w:rFonts w:hint="eastAsia" w:ascii="微软雅黑" w:hAnsi="微软雅黑" w:eastAsia="微软雅黑" w:cs="微软雅黑"/>
                <w:color w:val="000000"/>
                <w:sz w:val="21"/>
                <w:szCs w:val="21"/>
                <w:highlight w:val="none"/>
                <w:lang w:eastAsia="zh-CN"/>
              </w:rPr>
              <w:t>0</w:t>
            </w:r>
            <w:r>
              <w:rPr>
                <w:rFonts w:hint="eastAsia" w:ascii="微软雅黑" w:hAnsi="微软雅黑" w:eastAsia="微软雅黑" w:cs="微软雅黑"/>
                <w:color w:val="000000"/>
                <w:sz w:val="21"/>
                <w:szCs w:val="21"/>
                <w:highlight w:val="none"/>
              </w:rPr>
              <w:t>：</w:t>
            </w:r>
            <w:r>
              <w:rPr>
                <w:rFonts w:hint="eastAsia" w:ascii="微软雅黑" w:hAnsi="微软雅黑" w:eastAsia="微软雅黑" w:cs="微软雅黑"/>
                <w:color w:val="000000"/>
                <w:sz w:val="21"/>
                <w:szCs w:val="21"/>
                <w:highlight w:val="none"/>
                <w:lang w:eastAsia="zh-CN"/>
              </w:rPr>
              <w:t>3</w:t>
            </w:r>
            <w:r>
              <w:rPr>
                <w:rFonts w:hint="eastAsia" w:ascii="微软雅黑" w:hAnsi="微软雅黑" w:eastAsia="微软雅黑" w:cs="微软雅黑"/>
                <w:color w:val="000000"/>
                <w:sz w:val="21"/>
                <w:szCs w:val="21"/>
                <w:highlight w:val="none"/>
              </w:rPr>
              <w:t>0-1</w:t>
            </w:r>
            <w:r>
              <w:rPr>
                <w:rFonts w:hint="eastAsia" w:ascii="微软雅黑" w:hAnsi="微软雅黑" w:eastAsia="微软雅黑" w:cs="微软雅黑"/>
                <w:color w:val="000000"/>
                <w:sz w:val="21"/>
                <w:szCs w:val="21"/>
                <w:highlight w:val="none"/>
                <w:lang w:val="en-US" w:eastAsia="zh-CN"/>
              </w:rPr>
              <w:t>0</w:t>
            </w:r>
            <w:r>
              <w:rPr>
                <w:rFonts w:hint="eastAsia" w:ascii="微软雅黑" w:hAnsi="微软雅黑" w:eastAsia="微软雅黑" w:cs="微软雅黑"/>
                <w:color w:val="000000"/>
                <w:sz w:val="21"/>
                <w:szCs w:val="21"/>
                <w:highlight w:val="none"/>
              </w:rPr>
              <w:t>：</w:t>
            </w:r>
            <w:r>
              <w:rPr>
                <w:rFonts w:hint="eastAsia" w:ascii="微软雅黑" w:hAnsi="微软雅黑" w:eastAsia="微软雅黑" w:cs="微软雅黑"/>
                <w:color w:val="000000"/>
                <w:sz w:val="21"/>
                <w:szCs w:val="21"/>
                <w:highlight w:val="none"/>
                <w:lang w:eastAsia="zh-CN"/>
              </w:rPr>
              <w:t>4</w:t>
            </w:r>
            <w:r>
              <w:rPr>
                <w:rFonts w:hint="eastAsia" w:ascii="微软雅黑" w:hAnsi="微软雅黑" w:eastAsia="微软雅黑" w:cs="微软雅黑"/>
                <w:color w:val="000000"/>
                <w:sz w:val="21"/>
                <w:szCs w:val="21"/>
                <w:highlight w:val="none"/>
                <w:lang w:val="en-US" w:eastAsia="zh-CN"/>
              </w:rPr>
              <w:t>0</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lang w:val="en-US" w:eastAsia="zh-CN"/>
              </w:rPr>
              <w:t>媒体推荐</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lang w:val="en-US" w:eastAsia="zh-CN"/>
              </w:rPr>
              <w:t>媒体代表发言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kern w:val="2"/>
                <w:sz w:val="21"/>
                <w:szCs w:val="21"/>
                <w:highlight w:val="none"/>
                <w:lang w:val="en-US" w:eastAsia="zh-CN" w:bidi="ar-SA"/>
              </w:rPr>
            </w:pPr>
            <w:r>
              <w:rPr>
                <w:rFonts w:hint="eastAsia" w:ascii="微软雅黑" w:hAnsi="微软雅黑" w:eastAsia="微软雅黑" w:cs="微软雅黑"/>
                <w:color w:val="000000"/>
                <w:sz w:val="21"/>
                <w:szCs w:val="21"/>
                <w:highlight w:val="none"/>
              </w:rPr>
              <w:t>1</w:t>
            </w:r>
            <w:r>
              <w:rPr>
                <w:rFonts w:hint="eastAsia" w:ascii="微软雅黑" w:hAnsi="微软雅黑" w:eastAsia="微软雅黑" w:cs="微软雅黑"/>
                <w:color w:val="000000"/>
                <w:sz w:val="21"/>
                <w:szCs w:val="21"/>
                <w:highlight w:val="none"/>
                <w:lang w:val="en-US" w:eastAsia="zh-CN"/>
              </w:rPr>
              <w:t>0</w:t>
            </w:r>
            <w:r>
              <w:rPr>
                <w:rFonts w:hint="eastAsia" w:ascii="微软雅黑" w:hAnsi="微软雅黑" w:eastAsia="微软雅黑" w:cs="微软雅黑"/>
                <w:color w:val="000000"/>
                <w:sz w:val="21"/>
                <w:szCs w:val="21"/>
                <w:highlight w:val="none"/>
              </w:rPr>
              <w:t>：</w:t>
            </w:r>
            <w:r>
              <w:rPr>
                <w:rFonts w:hint="eastAsia" w:ascii="微软雅黑" w:hAnsi="微软雅黑" w:eastAsia="微软雅黑" w:cs="微软雅黑"/>
                <w:color w:val="000000"/>
                <w:sz w:val="21"/>
                <w:szCs w:val="21"/>
                <w:highlight w:val="none"/>
                <w:lang w:val="en-US" w:eastAsia="zh-CN"/>
              </w:rPr>
              <w:t>4</w:t>
            </w:r>
            <w:r>
              <w:rPr>
                <w:rFonts w:hint="eastAsia" w:ascii="微软雅黑" w:hAnsi="微软雅黑" w:eastAsia="微软雅黑" w:cs="微软雅黑"/>
                <w:color w:val="000000"/>
                <w:sz w:val="21"/>
                <w:szCs w:val="21"/>
                <w:highlight w:val="none"/>
              </w:rPr>
              <w:t>0-</w:t>
            </w:r>
            <w:r>
              <w:rPr>
                <w:rFonts w:hint="eastAsia" w:ascii="微软雅黑" w:hAnsi="微软雅黑" w:eastAsia="微软雅黑" w:cs="微软雅黑"/>
                <w:color w:val="000000"/>
                <w:sz w:val="21"/>
                <w:szCs w:val="21"/>
                <w:highlight w:val="none"/>
                <w:lang w:val="en-US" w:eastAsia="zh-CN"/>
              </w:rPr>
              <w:t>10</w:t>
            </w:r>
            <w:r>
              <w:rPr>
                <w:rFonts w:hint="eastAsia" w:ascii="微软雅黑" w:hAnsi="微软雅黑" w:eastAsia="微软雅黑" w:cs="微软雅黑"/>
                <w:color w:val="000000"/>
                <w:sz w:val="21"/>
                <w:szCs w:val="21"/>
                <w:highlight w:val="none"/>
              </w:rPr>
              <w:t>：</w:t>
            </w:r>
            <w:r>
              <w:rPr>
                <w:rFonts w:hint="eastAsia" w:ascii="微软雅黑" w:hAnsi="微软雅黑" w:eastAsia="微软雅黑" w:cs="微软雅黑"/>
                <w:color w:val="000000"/>
                <w:sz w:val="21"/>
                <w:szCs w:val="21"/>
                <w:highlight w:val="none"/>
                <w:lang w:val="en-US" w:eastAsia="zh-CN"/>
              </w:rPr>
              <w:t>45</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kern w:val="2"/>
                <w:sz w:val="21"/>
                <w:szCs w:val="21"/>
                <w:highlight w:val="none"/>
                <w:lang w:val="en-US" w:eastAsia="zh-CN" w:bidi="ar-SA"/>
              </w:rPr>
            </w:pPr>
            <w:r>
              <w:rPr>
                <w:rFonts w:hint="eastAsia" w:ascii="微软雅黑" w:hAnsi="微软雅黑" w:eastAsia="微软雅黑" w:cs="微软雅黑"/>
                <w:color w:val="000000"/>
                <w:sz w:val="21"/>
                <w:szCs w:val="21"/>
                <w:highlight w:val="none"/>
                <w:lang w:val="en-US" w:eastAsia="zh-CN"/>
              </w:rPr>
              <w:t>开放仪式</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kern w:val="2"/>
                <w:sz w:val="21"/>
                <w:szCs w:val="21"/>
                <w:highlight w:val="none"/>
                <w:lang w:val="en-US" w:eastAsia="zh-CN" w:bidi="ar-SA"/>
              </w:rPr>
            </w:pPr>
            <w:r>
              <w:rPr>
                <w:rFonts w:hint="eastAsia" w:ascii="微软雅黑" w:hAnsi="微软雅黑" w:eastAsia="微软雅黑" w:cs="微软雅黑"/>
                <w:color w:val="000000"/>
                <w:sz w:val="21"/>
                <w:szCs w:val="21"/>
                <w:highlight w:val="none"/>
                <w:lang w:val="en-US" w:eastAsia="zh-CN"/>
              </w:rPr>
              <w:t>举行开放仪式，</w:t>
            </w:r>
            <w:r>
              <w:rPr>
                <w:rFonts w:hint="eastAsia" w:ascii="微软雅黑" w:hAnsi="微软雅黑" w:eastAsia="微软雅黑" w:cs="微软雅黑"/>
                <w:color w:val="000000"/>
                <w:sz w:val="21"/>
                <w:szCs w:val="21"/>
                <w:highlight w:val="none"/>
              </w:rPr>
              <w:t>合影留念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lang w:val="en-US" w:eastAsia="zh-CN"/>
              </w:rPr>
            </w:pPr>
            <w:r>
              <w:rPr>
                <w:rFonts w:hint="eastAsia" w:ascii="微软雅黑" w:hAnsi="微软雅黑" w:eastAsia="微软雅黑" w:cs="微软雅黑"/>
                <w:color w:val="000000"/>
                <w:sz w:val="21"/>
                <w:szCs w:val="21"/>
                <w:highlight w:val="none"/>
                <w:lang w:val="en-US" w:eastAsia="zh-CN"/>
              </w:rPr>
              <w:t>10:45-11:30</w:t>
            </w:r>
          </w:p>
        </w:tc>
        <w:tc>
          <w:tcPr>
            <w:tcW w:w="2090"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lang w:val="en-US" w:eastAsia="zh-CN"/>
              </w:rPr>
            </w:pPr>
            <w:r>
              <w:rPr>
                <w:rFonts w:hint="eastAsia" w:ascii="微软雅黑" w:hAnsi="微软雅黑" w:eastAsia="微软雅黑" w:cs="微软雅黑"/>
                <w:color w:val="000000"/>
                <w:sz w:val="21"/>
                <w:szCs w:val="21"/>
                <w:highlight w:val="none"/>
                <w:lang w:val="en-US" w:eastAsia="zh-CN"/>
              </w:rPr>
              <w:t>自由参观</w:t>
            </w:r>
          </w:p>
        </w:tc>
        <w:tc>
          <w:tcPr>
            <w:tcW w:w="4952" w:type="dxa"/>
            <w:noWrap w:val="0"/>
            <w:tcMar>
              <w:left w:w="108" w:type="dxa"/>
              <w:right w:w="108" w:type="dxa"/>
            </w:tcMar>
            <w:vAlign w:val="center"/>
          </w:tcPr>
          <w:p>
            <w:pPr>
              <w:jc w:val="center"/>
              <w:rPr>
                <w:rFonts w:hint="eastAsia" w:ascii="微软雅黑" w:hAnsi="微软雅黑" w:eastAsia="微软雅黑" w:cs="微软雅黑"/>
                <w:color w:val="000000"/>
                <w:sz w:val="21"/>
                <w:szCs w:val="21"/>
                <w:highlight w:val="none"/>
                <w:lang w:val="en-US" w:eastAsia="zh-CN"/>
              </w:rPr>
            </w:pPr>
            <w:r>
              <w:rPr>
                <w:rFonts w:hint="eastAsia" w:ascii="微软雅黑" w:hAnsi="微软雅黑" w:eastAsia="微软雅黑" w:cs="微软雅黑"/>
                <w:color w:val="000000"/>
                <w:sz w:val="21"/>
                <w:szCs w:val="21"/>
                <w:highlight w:val="none"/>
                <w:lang w:val="en-US" w:eastAsia="zh-CN"/>
              </w:rPr>
              <w:t>销售代表陪同讲解</w:t>
            </w:r>
          </w:p>
        </w:tc>
      </w:tr>
    </w:tbl>
    <w:p>
      <w:pPr>
        <w:ind w:firstLine="643" w:firstLineChars="200"/>
        <w:rPr>
          <w:rFonts w:ascii="楷体" w:hAnsi="楷体" w:eastAsia="楷体" w:cs="楷体"/>
          <w:b/>
          <w:bCs/>
          <w:color w:val="000000"/>
          <w:sz w:val="32"/>
          <w:szCs w:val="32"/>
          <w:highlight w:val="none"/>
        </w:rPr>
      </w:pPr>
      <w:r>
        <w:rPr>
          <w:rFonts w:hint="eastAsia" w:ascii="楷体" w:hAnsi="楷体" w:eastAsia="楷体" w:cs="楷体"/>
          <w:b/>
          <w:bCs/>
          <w:color w:val="000000"/>
          <w:sz w:val="32"/>
          <w:szCs w:val="32"/>
          <w:highlight w:val="none"/>
        </w:rPr>
        <w:t>2、活动方案清单</w:t>
      </w:r>
    </w:p>
    <w:p>
      <w:pPr>
        <w:pStyle w:val="2"/>
        <w:spacing w:line="440" w:lineRule="exact"/>
        <w:ind w:firstLine="392"/>
        <w:rPr>
          <w:rFonts w:hint="eastAsia"/>
          <w:color w:val="000000"/>
          <w:highlight w:val="none"/>
        </w:rPr>
      </w:pPr>
      <w:r>
        <w:rPr>
          <w:rFonts w:hint="eastAsia" w:ascii="仿宋" w:hAnsi="仿宋" w:eastAsia="仿宋" w:cs="仿宋"/>
          <w:color w:val="000000"/>
          <w:sz w:val="32"/>
          <w:szCs w:val="32"/>
          <w:highlight w:val="none"/>
        </w:rPr>
        <w:t>活动涉及到的人员及物料需包括但不限于以下内容：</w:t>
      </w:r>
    </w:p>
    <w:tbl>
      <w:tblPr>
        <w:tblStyle w:val="47"/>
        <w:tblW w:w="9119" w:type="dxa"/>
        <w:tblInd w:w="93" w:type="dxa"/>
        <w:tblLayout w:type="fixed"/>
        <w:tblCellMar>
          <w:top w:w="0" w:type="dxa"/>
          <w:left w:w="108" w:type="dxa"/>
          <w:bottom w:w="0" w:type="dxa"/>
          <w:right w:w="108" w:type="dxa"/>
        </w:tblCellMar>
      </w:tblPr>
      <w:tblGrid>
        <w:gridCol w:w="1793"/>
        <w:gridCol w:w="1080"/>
        <w:gridCol w:w="6246"/>
      </w:tblGrid>
      <w:tr>
        <w:trPr>
          <w:trHeight w:val="90" w:hRule="atLeast"/>
        </w:trPr>
        <w:tc>
          <w:tcPr>
            <w:tcW w:w="1793"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w:hAnsi="微软雅黑" w:eastAsia="微软雅黑" w:cs="微软雅黑"/>
                <w:b/>
                <w:bCs/>
                <w:color w:val="000000"/>
                <w:sz w:val="18"/>
                <w:szCs w:val="18"/>
                <w:highlight w:val="none"/>
              </w:rPr>
            </w:pPr>
            <w:r>
              <w:rPr>
                <w:rFonts w:hint="eastAsia" w:ascii="微软雅黑" w:hAnsi="微软雅黑" w:eastAsia="微软雅黑" w:cs="微软雅黑"/>
                <w:b/>
                <w:bCs/>
                <w:color w:val="000000"/>
                <w:kern w:val="0"/>
                <w:sz w:val="18"/>
                <w:szCs w:val="18"/>
                <w:highlight w:val="none"/>
                <w:lang w:bidi="ar"/>
              </w:rPr>
              <w:t>项目</w:t>
            </w:r>
          </w:p>
        </w:tc>
        <w:tc>
          <w:tcPr>
            <w:tcW w:w="1080"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w:hAnsi="微软雅黑" w:eastAsia="微软雅黑" w:cs="微软雅黑"/>
                <w:b/>
                <w:bCs/>
                <w:color w:val="000000"/>
                <w:sz w:val="18"/>
                <w:szCs w:val="18"/>
                <w:highlight w:val="none"/>
              </w:rPr>
            </w:pPr>
            <w:r>
              <w:rPr>
                <w:rFonts w:hint="eastAsia" w:ascii="微软雅黑" w:hAnsi="微软雅黑" w:eastAsia="微软雅黑" w:cs="微软雅黑"/>
                <w:b/>
                <w:bCs/>
                <w:color w:val="000000"/>
                <w:kern w:val="0"/>
                <w:sz w:val="18"/>
                <w:szCs w:val="18"/>
                <w:highlight w:val="none"/>
                <w:lang w:bidi="ar"/>
              </w:rPr>
              <w:t>数量</w:t>
            </w:r>
          </w:p>
        </w:tc>
        <w:tc>
          <w:tcPr>
            <w:tcW w:w="6246"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w:hAnsi="微软雅黑" w:eastAsia="微软雅黑" w:cs="微软雅黑"/>
                <w:b/>
                <w:bCs/>
                <w:color w:val="000000"/>
                <w:sz w:val="18"/>
                <w:szCs w:val="18"/>
                <w:highlight w:val="none"/>
              </w:rPr>
            </w:pPr>
            <w:r>
              <w:rPr>
                <w:rFonts w:hint="eastAsia" w:ascii="微软雅黑" w:hAnsi="微软雅黑" w:eastAsia="微软雅黑" w:cs="微软雅黑"/>
                <w:b/>
                <w:bCs/>
                <w:color w:val="000000"/>
                <w:kern w:val="0"/>
                <w:sz w:val="18"/>
                <w:szCs w:val="18"/>
                <w:highlight w:val="none"/>
                <w:lang w:bidi="ar"/>
              </w:rPr>
              <w:t>说明</w:t>
            </w:r>
          </w:p>
        </w:tc>
      </w:tr>
      <w:tr>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导视牌</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4</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包含签到桌椅、台花、台卡、胸花</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迎宾花柱</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8</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金属框架结构，汽车工艺烤漆，新鲜花艺花材布置，项目LOGO立体字</w:t>
            </w:r>
          </w:p>
        </w:tc>
      </w:tr>
      <w:tr>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签到部分</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需结合项目调性及活动氛围，定制创意签到组景及签到形式，含签到用具等</w:t>
            </w:r>
          </w:p>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（需有同等价位主推与两款备选方案）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合影组景</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主题氛围合影造型，定制项目LOGO字，情景装饰</w:t>
            </w:r>
          </w:p>
        </w:tc>
      </w:tr>
      <w:tr>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主持人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知名主持人，需含服装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模特礼仪</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身高1.78M，专业模特礼仪人员，含服装，含化妆，含服装（需样板房摆拍）</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开放仪式</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形式自拟 要求体现项目品质与氛围（需有同等价位主推与两款备选方案）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户外音响设备</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户外中型活动，专业音响设备，含音响师</w:t>
            </w:r>
          </w:p>
        </w:tc>
      </w:tr>
      <w:tr>
        <w:tblPrEx>
          <w:tblCellMar>
            <w:top w:w="0" w:type="dxa"/>
            <w:left w:w="108" w:type="dxa"/>
            <w:bottom w:w="0" w:type="dxa"/>
            <w:right w:w="108" w:type="dxa"/>
          </w:tblCellMar>
        </w:tblPrEx>
        <w:trPr>
          <w:trHeight w:val="859"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启动仪式</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12MM夹板木结构，汽车工艺烤漆，项目LOGO立体字，活动主题立体字，干冰道具等</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金片机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氛围庆典专用金片机设备</w:t>
            </w:r>
          </w:p>
        </w:tc>
      </w:tr>
      <w:tr>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val="en-US" w:eastAsia="zh-CN" w:bidi="ar"/>
              </w:rPr>
            </w:pPr>
            <w:r>
              <w:rPr>
                <w:rFonts w:hint="eastAsia" w:ascii="微软雅黑" w:hAnsi="微软雅黑" w:eastAsia="微软雅黑" w:cs="微软雅黑"/>
                <w:color w:val="000000"/>
                <w:kern w:val="0"/>
                <w:sz w:val="18"/>
                <w:szCs w:val="18"/>
                <w:highlight w:val="none"/>
                <w:lang w:val="en-US" w:eastAsia="zh-CN" w:bidi="ar"/>
              </w:rPr>
              <w:t>舞台媒体区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val="en-US" w:eastAsia="zh-CN" w:bidi="ar"/>
              </w:rPr>
            </w:pPr>
            <w:r>
              <w:rPr>
                <w:rFonts w:hint="eastAsia" w:ascii="微软雅黑" w:hAnsi="微软雅黑" w:eastAsia="微软雅黑" w:cs="微软雅黑"/>
                <w:color w:val="000000"/>
                <w:kern w:val="0"/>
                <w:sz w:val="18"/>
                <w:szCs w:val="18"/>
                <w:highlight w:val="none"/>
                <w:lang w:val="en-US" w:eastAsia="zh-CN"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val="en-US" w:eastAsia="zh-CN" w:bidi="ar"/>
              </w:rPr>
            </w:pPr>
            <w:r>
              <w:rPr>
                <w:rFonts w:hint="eastAsia" w:ascii="微软雅黑" w:hAnsi="微软雅黑" w:eastAsia="微软雅黑" w:cs="微软雅黑"/>
                <w:color w:val="000000"/>
                <w:kern w:val="0"/>
                <w:sz w:val="18"/>
                <w:szCs w:val="18"/>
                <w:highlight w:val="none"/>
                <w:lang w:val="en-US" w:eastAsia="zh-CN" w:bidi="ar"/>
              </w:rPr>
              <w:t>需要包括LED屏幕（尺寸</w:t>
            </w:r>
            <w:r>
              <w:rPr>
                <w:rFonts w:hint="eastAsia" w:ascii="微软雅黑" w:hAnsi="微软雅黑" w:eastAsia="微软雅黑" w:cs="微软雅黑"/>
                <w:color w:val="000000"/>
                <w:kern w:val="0"/>
                <w:sz w:val="18"/>
                <w:szCs w:val="18"/>
                <w:highlight w:val="none"/>
                <w:lang w:bidi="ar"/>
              </w:rPr>
              <w:t>7.5*3m</w:t>
            </w:r>
            <w:r>
              <w:rPr>
                <w:rFonts w:hint="eastAsia" w:ascii="微软雅黑" w:hAnsi="微软雅黑" w:eastAsia="微软雅黑" w:cs="微软雅黑"/>
                <w:color w:val="000000"/>
                <w:kern w:val="0"/>
                <w:sz w:val="18"/>
                <w:szCs w:val="18"/>
                <w:highlight w:val="none"/>
                <w:lang w:val="en-US" w:eastAsia="zh-CN" w:bidi="ar"/>
              </w:rPr>
              <w:t>）、舞台（尺寸</w:t>
            </w:r>
            <w:r>
              <w:rPr>
                <w:rFonts w:hint="eastAsia" w:ascii="微软雅黑" w:hAnsi="微软雅黑" w:eastAsia="微软雅黑" w:cs="微软雅黑"/>
                <w:color w:val="000000"/>
                <w:kern w:val="0"/>
                <w:sz w:val="18"/>
                <w:szCs w:val="18"/>
                <w:highlight w:val="none"/>
                <w:lang w:bidi="ar"/>
              </w:rPr>
              <w:t>7.</w:t>
            </w:r>
            <w:r>
              <w:rPr>
                <w:rFonts w:hint="eastAsia" w:ascii="微软雅黑" w:hAnsi="微软雅黑" w:eastAsia="微软雅黑" w:cs="微软雅黑"/>
                <w:color w:val="000000"/>
                <w:kern w:val="0"/>
                <w:sz w:val="18"/>
                <w:szCs w:val="18"/>
                <w:highlight w:val="none"/>
                <w:lang w:val="en-US" w:eastAsia="zh-CN" w:bidi="ar"/>
              </w:rPr>
              <w:t>5</w:t>
            </w:r>
            <w:r>
              <w:rPr>
                <w:rFonts w:hint="eastAsia" w:ascii="微软雅黑" w:hAnsi="微软雅黑" w:eastAsia="微软雅黑" w:cs="微软雅黑"/>
                <w:color w:val="000000"/>
                <w:kern w:val="0"/>
                <w:sz w:val="18"/>
                <w:szCs w:val="18"/>
                <w:highlight w:val="none"/>
                <w:lang w:bidi="ar"/>
              </w:rPr>
              <w:t>*</w:t>
            </w:r>
            <w:r>
              <w:rPr>
                <w:rFonts w:hint="eastAsia" w:ascii="微软雅黑" w:hAnsi="微软雅黑" w:eastAsia="微软雅黑" w:cs="微软雅黑"/>
                <w:color w:val="000000"/>
                <w:kern w:val="0"/>
                <w:sz w:val="18"/>
                <w:szCs w:val="18"/>
                <w:highlight w:val="none"/>
                <w:lang w:val="en-US" w:eastAsia="zh-CN" w:bidi="ar"/>
              </w:rPr>
              <w:t>4</w:t>
            </w:r>
            <w:r>
              <w:rPr>
                <w:rFonts w:hint="eastAsia" w:ascii="微软雅黑" w:hAnsi="微软雅黑" w:eastAsia="微软雅黑" w:cs="微软雅黑"/>
                <w:color w:val="000000"/>
                <w:kern w:val="0"/>
                <w:sz w:val="18"/>
                <w:szCs w:val="18"/>
                <w:highlight w:val="none"/>
                <w:lang w:bidi="ar"/>
              </w:rPr>
              <w:t>m</w:t>
            </w:r>
            <w:r>
              <w:rPr>
                <w:rFonts w:hint="eastAsia" w:ascii="微软雅黑" w:hAnsi="微软雅黑" w:eastAsia="微软雅黑" w:cs="微软雅黑"/>
                <w:color w:val="000000"/>
                <w:kern w:val="0"/>
                <w:sz w:val="18"/>
                <w:szCs w:val="18"/>
                <w:highlight w:val="none"/>
                <w:lang w:val="en-US" w:eastAsia="zh-CN" w:bidi="ar"/>
              </w:rPr>
              <w:t>），媒体嘉宾座椅150张、演讲台、舞台音响设备及氛围包装（其中氛围包装形式自拟）</w:t>
            </w:r>
          </w:p>
          <w:p>
            <w:pPr>
              <w:widowControl/>
              <w:spacing w:line="440" w:lineRule="exact"/>
              <w:jc w:val="center"/>
              <w:textAlignment w:val="center"/>
              <w:rPr>
                <w:rFonts w:hint="default" w:ascii="微软雅黑" w:hAnsi="微软雅黑" w:eastAsia="微软雅黑" w:cs="微软雅黑"/>
                <w:color w:val="000000"/>
                <w:kern w:val="0"/>
                <w:sz w:val="18"/>
                <w:szCs w:val="18"/>
                <w:highlight w:val="none"/>
                <w:lang w:val="en-US" w:eastAsia="zh-CN" w:bidi="ar"/>
              </w:rPr>
            </w:pPr>
            <w:r>
              <w:rPr>
                <w:rStyle w:val="196"/>
                <w:rFonts w:hint="default"/>
                <w:highlight w:val="none"/>
                <w:lang w:bidi="ar"/>
              </w:rPr>
              <w:t>（甲方可根据现场尺寸调整，乙方需无条件配合）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摄影师</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专业摄影师，含器械</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摄像师</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专业摄像师，含器械（含15S小视频制作）</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开场演绎</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专业演绎人员，含服装，含演绎道具（形式自拟，符合项目调性）</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暖场演绎</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3</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专业演绎人员，含服装，含演绎道具（形式自拟，符合项目调性）</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暖场茶歇</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300</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精致糕点，饮品等，含桌面布置</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val="en-US" w:eastAsia="zh-CN" w:bidi="ar"/>
              </w:rPr>
              <w:t>茶歇糕点师傅</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2</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val="en-US" w:eastAsia="zh-CN" w:bidi="ar"/>
              </w:rPr>
              <w:t>具备花式切水果、摆盘等专业师傅</w:t>
            </w:r>
            <w:r>
              <w:rPr>
                <w:rFonts w:hint="eastAsia" w:ascii="微软雅黑" w:hAnsi="微软雅黑" w:eastAsia="微软雅黑" w:cs="微软雅黑"/>
                <w:color w:val="000000"/>
                <w:kern w:val="0"/>
                <w:sz w:val="18"/>
                <w:szCs w:val="18"/>
                <w:highlight w:val="none"/>
                <w:lang w:bidi="ar"/>
              </w:rPr>
              <w:t>，含服装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服务员</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4</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专业酒店级服务员，含服装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val="en-US" w:eastAsia="zh-CN" w:bidi="ar"/>
              </w:rPr>
              <w:t>媒体</w:t>
            </w:r>
            <w:r>
              <w:rPr>
                <w:rFonts w:hint="eastAsia" w:ascii="微软雅黑" w:hAnsi="微软雅黑" w:eastAsia="微软雅黑" w:cs="微软雅黑"/>
                <w:color w:val="000000"/>
                <w:kern w:val="0"/>
                <w:sz w:val="18"/>
                <w:szCs w:val="18"/>
                <w:highlight w:val="none"/>
                <w:lang w:bidi="ar"/>
              </w:rPr>
              <w:t>费用</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val="en-US" w:eastAsia="zh-CN" w:bidi="ar"/>
              </w:rPr>
              <w:t>预计100家媒体费用</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伴手礼</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150</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ind w:firstLine="1800" w:firstLineChars="1000"/>
              <w:jc w:val="both"/>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val="en-US" w:eastAsia="zh-CN" w:bidi="ar"/>
              </w:rPr>
              <w:t>单价在200元/份的</w:t>
            </w:r>
            <w:r>
              <w:rPr>
                <w:rFonts w:hint="eastAsia" w:ascii="微软雅黑" w:hAnsi="微软雅黑" w:eastAsia="微软雅黑" w:cs="微软雅黑"/>
                <w:color w:val="000000"/>
                <w:kern w:val="0"/>
                <w:sz w:val="18"/>
                <w:szCs w:val="18"/>
                <w:highlight w:val="none"/>
                <w:lang w:bidi="ar"/>
              </w:rPr>
              <w:t>精致礼品，最终以双方协商为准</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宣传推广</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6</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需包括但不限于以下自媒体大V：壹地产、房产大象、楼兔子、地产凝眸、买房之前、中国房地产报大湾区、深圳概率、深晚一兵。参选单位需标注前述</w:t>
            </w:r>
            <w:r>
              <w:rPr>
                <w:rFonts w:hint="eastAsia" w:ascii="微软雅黑" w:hAnsi="微软雅黑" w:eastAsia="微软雅黑" w:cs="微软雅黑"/>
                <w:color w:val="000000"/>
                <w:kern w:val="0"/>
                <w:sz w:val="18"/>
                <w:szCs w:val="18"/>
                <w:highlight w:val="none"/>
                <w:lang w:val="en-US" w:eastAsia="zh-CN" w:bidi="ar"/>
              </w:rPr>
              <w:t>8</w:t>
            </w:r>
            <w:r>
              <w:rPr>
                <w:rFonts w:hint="eastAsia" w:ascii="微软雅黑" w:hAnsi="微软雅黑" w:eastAsia="微软雅黑" w:cs="微软雅黑"/>
                <w:color w:val="000000"/>
                <w:kern w:val="0"/>
                <w:sz w:val="18"/>
                <w:szCs w:val="18"/>
                <w:highlight w:val="none"/>
                <w:lang w:bidi="ar"/>
              </w:rPr>
              <w:t>家大V的原创软文发布</w:t>
            </w:r>
            <w:r>
              <w:rPr>
                <w:rFonts w:hint="eastAsia" w:ascii="微软雅黑" w:hAnsi="微软雅黑" w:eastAsia="微软雅黑" w:cs="微软雅黑"/>
                <w:color w:val="000000"/>
                <w:kern w:val="0"/>
                <w:sz w:val="18"/>
                <w:szCs w:val="18"/>
                <w:highlight w:val="none"/>
                <w:lang w:val="en-US" w:eastAsia="zh-CN" w:bidi="ar"/>
              </w:rPr>
              <w:t>或短视频的</w:t>
            </w:r>
            <w:r>
              <w:rPr>
                <w:rFonts w:hint="eastAsia" w:ascii="微软雅黑" w:hAnsi="微软雅黑" w:eastAsia="微软雅黑" w:cs="微软雅黑"/>
                <w:color w:val="000000"/>
                <w:kern w:val="0"/>
                <w:sz w:val="18"/>
                <w:szCs w:val="18"/>
                <w:highlight w:val="none"/>
                <w:lang w:bidi="ar"/>
              </w:rPr>
              <w:t>单价，并推荐其中6家供甲方使用。甲方可根据实际需求在这</w:t>
            </w:r>
            <w:r>
              <w:rPr>
                <w:rFonts w:hint="eastAsia" w:ascii="微软雅黑" w:hAnsi="微软雅黑" w:eastAsia="微软雅黑" w:cs="微软雅黑"/>
                <w:color w:val="000000"/>
                <w:kern w:val="0"/>
                <w:sz w:val="18"/>
                <w:szCs w:val="18"/>
                <w:highlight w:val="none"/>
                <w:lang w:val="en-US" w:eastAsia="zh-CN" w:bidi="ar"/>
              </w:rPr>
              <w:t>8</w:t>
            </w:r>
            <w:r>
              <w:rPr>
                <w:rFonts w:hint="eastAsia" w:ascii="微软雅黑" w:hAnsi="微软雅黑" w:eastAsia="微软雅黑" w:cs="微软雅黑"/>
                <w:color w:val="000000"/>
                <w:kern w:val="0"/>
                <w:sz w:val="18"/>
                <w:szCs w:val="18"/>
                <w:highlight w:val="none"/>
                <w:lang w:bidi="ar"/>
              </w:rPr>
              <w:t>家大V范围内更换媒体，最终发布总篇数不超过6篇，据实结算，结算价不超过推荐总价。</w:t>
            </w:r>
          </w:p>
        </w:tc>
      </w:tr>
      <w:tr>
        <w:tblPrEx>
          <w:tblCellMar>
            <w:top w:w="0" w:type="dxa"/>
            <w:left w:w="108" w:type="dxa"/>
            <w:bottom w:w="0" w:type="dxa"/>
            <w:right w:w="108" w:type="dxa"/>
          </w:tblCellMar>
        </w:tblPrEx>
        <w:trPr>
          <w:trHeight w:val="90" w:hRule="atLeast"/>
        </w:trPr>
        <w:tc>
          <w:tcPr>
            <w:tcW w:w="9119"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b/>
                <w:bCs/>
                <w:color w:val="000000"/>
                <w:kern w:val="0"/>
                <w:sz w:val="18"/>
                <w:szCs w:val="24"/>
                <w:highlight w:val="none"/>
              </w:rPr>
              <w:t>注意：以上内容仅为必须要包含的服务项目，不代表全部服务项目，具体物料清单需根据各自方案进行细化。</w:t>
            </w:r>
          </w:p>
        </w:tc>
      </w:tr>
    </w:tbl>
    <w:p>
      <w:pPr>
        <w:spacing w:line="440" w:lineRule="exact"/>
        <w:rPr>
          <w:rFonts w:hint="eastAsia" w:ascii="仿宋_GB2312" w:hAnsi="宋体" w:eastAsia="仿宋_GB2312"/>
          <w:color w:val="000000"/>
          <w:sz w:val="32"/>
          <w:szCs w:val="32"/>
          <w:highlight w:val="none"/>
        </w:rPr>
      </w:pPr>
    </w:p>
    <w:p>
      <w:pPr>
        <w:spacing w:line="24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（二）系列暖场活动</w:t>
      </w:r>
    </w:p>
    <w:p>
      <w:pPr>
        <w:spacing w:line="240" w:lineRule="auto"/>
        <w:ind w:left="0" w:leftChars="0"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考虑展示中心开放后人流增大，拟</w:t>
      </w:r>
      <w:r>
        <w:rPr>
          <w:rFonts w:ascii="仿宋" w:hAnsi="仿宋" w:eastAsia="仿宋" w:cs="仿宋"/>
          <w:color w:val="000000"/>
          <w:sz w:val="32"/>
          <w:szCs w:val="32"/>
          <w:highlight w:val="none"/>
        </w:rPr>
        <w:t>于</w:t>
      </w:r>
      <w:r>
        <w:rPr>
          <w:rFonts w:hint="eastAsia" w:ascii="仿宋" w:hAnsi="仿宋" w:eastAsia="仿宋" w:cs="仿宋"/>
          <w:color w:val="000000"/>
          <w:sz w:val="32"/>
          <w:szCs w:val="32"/>
          <w:highlight w:val="none"/>
        </w:rPr>
        <w:t>项目现场举行暖场活动，一方面吸引更多客户上门，一方面增加客户停留时间。拟于</w:t>
      </w:r>
      <w:r>
        <w:rPr>
          <w:rFonts w:ascii="仿宋" w:hAnsi="仿宋" w:eastAsia="仿宋" w:cs="仿宋"/>
          <w:color w:val="000000"/>
          <w:sz w:val="32"/>
          <w:szCs w:val="32"/>
          <w:highlight w:val="none"/>
        </w:rPr>
        <w:t>各节假日</w:t>
      </w:r>
      <w:r>
        <w:rPr>
          <w:rFonts w:hint="eastAsia" w:ascii="仿宋" w:hAnsi="仿宋" w:eastAsia="仿宋" w:cs="仿宋"/>
          <w:color w:val="000000"/>
          <w:sz w:val="32"/>
          <w:szCs w:val="32"/>
          <w:highlight w:val="none"/>
        </w:rPr>
        <w:t>，选取深铁瑞城展示中心作为活动场地，活动内容</w:t>
      </w:r>
      <w:r>
        <w:rPr>
          <w:rFonts w:ascii="仿宋" w:hAnsi="仿宋" w:eastAsia="仿宋" w:cs="仿宋"/>
          <w:color w:val="000000"/>
          <w:sz w:val="32"/>
          <w:szCs w:val="32"/>
          <w:highlight w:val="none"/>
        </w:rPr>
        <w:t>需</w:t>
      </w:r>
      <w:r>
        <w:rPr>
          <w:rFonts w:hint="eastAsia" w:ascii="仿宋" w:hAnsi="仿宋" w:eastAsia="仿宋" w:cs="仿宋"/>
          <w:color w:val="000000"/>
          <w:sz w:val="32"/>
          <w:szCs w:val="32"/>
          <w:highlight w:val="none"/>
        </w:rPr>
        <w:t>符合TOD大城主题，有趣味性，能吸引客户停留。计划共举办4场暖场活动，需给出每场活动的</w:t>
      </w:r>
      <w:r>
        <w:rPr>
          <w:rFonts w:ascii="仿宋" w:hAnsi="仿宋" w:eastAsia="仿宋" w:cs="仿宋"/>
          <w:color w:val="000000"/>
          <w:sz w:val="32"/>
          <w:szCs w:val="32"/>
          <w:highlight w:val="none"/>
        </w:rPr>
        <w:t>主题及</w:t>
      </w:r>
      <w:r>
        <w:rPr>
          <w:rFonts w:hint="eastAsia" w:ascii="仿宋" w:hAnsi="仿宋" w:eastAsia="仿宋" w:cs="仿宋"/>
          <w:color w:val="000000"/>
          <w:sz w:val="32"/>
          <w:szCs w:val="32"/>
          <w:highlight w:val="none"/>
        </w:rPr>
        <w:t>创意建</w:t>
      </w:r>
      <w:r>
        <w:rPr>
          <w:rFonts w:ascii="仿宋" w:hAnsi="仿宋" w:eastAsia="仿宋" w:cs="仿宋"/>
          <w:color w:val="000000"/>
          <w:sz w:val="32"/>
          <w:szCs w:val="32"/>
          <w:highlight w:val="none"/>
        </w:rPr>
        <w:t>议</w:t>
      </w:r>
      <w:r>
        <w:rPr>
          <w:rFonts w:hint="eastAsia" w:ascii="仿宋" w:hAnsi="仿宋" w:eastAsia="仿宋" w:cs="仿宋"/>
          <w:color w:val="000000"/>
          <w:sz w:val="32"/>
          <w:szCs w:val="32"/>
          <w:highlight w:val="none"/>
        </w:rPr>
        <w:t>。</w:t>
      </w:r>
    </w:p>
    <w:p>
      <w:pPr>
        <w:spacing w:line="240" w:lineRule="auto"/>
        <w:ind w:firstLine="640" w:firstLineChars="200"/>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（三）现场包装设计制作部分</w:t>
      </w:r>
    </w:p>
    <w:tbl>
      <w:tblPr>
        <w:tblStyle w:val="47"/>
        <w:tblW w:w="0" w:type="auto"/>
        <w:tblInd w:w="-165" w:type="dxa"/>
        <w:tblLayout w:type="fixed"/>
        <w:tblCellMar>
          <w:top w:w="0" w:type="dxa"/>
          <w:left w:w="0" w:type="dxa"/>
          <w:bottom w:w="0" w:type="dxa"/>
          <w:right w:w="0" w:type="dxa"/>
        </w:tblCellMar>
      </w:tblPr>
      <w:tblGrid>
        <w:gridCol w:w="540"/>
        <w:gridCol w:w="1384"/>
        <w:gridCol w:w="4913"/>
        <w:gridCol w:w="1925"/>
        <w:gridCol w:w="414"/>
        <w:gridCol w:w="424"/>
      </w:tblGrid>
      <w:tr>
        <w:tblPrEx>
          <w:tblCellMar>
            <w:top w:w="0" w:type="dxa"/>
            <w:left w:w="0" w:type="dxa"/>
            <w:bottom w:w="0" w:type="dxa"/>
            <w:right w:w="0" w:type="dxa"/>
          </w:tblCellMar>
        </w:tblPrEx>
        <w:trPr>
          <w:trHeight w:val="616" w:hRule="atLeast"/>
        </w:trPr>
        <w:tc>
          <w:tcPr>
            <w:tcW w:w="9600" w:type="dxa"/>
            <w:gridSpan w:val="6"/>
            <w:tcBorders>
              <w:top w:val="single" w:color="000000" w:sz="8"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32"/>
                <w:szCs w:val="32"/>
                <w:highlight w:val="none"/>
              </w:rPr>
            </w:pPr>
            <w:r>
              <w:rPr>
                <w:rFonts w:hint="eastAsia" w:ascii="微软雅黑" w:hAnsi="微软雅黑" w:eastAsia="微软雅黑" w:cs="微软雅黑"/>
                <w:b/>
                <w:color w:val="000000"/>
                <w:kern w:val="0"/>
                <w:sz w:val="32"/>
                <w:szCs w:val="32"/>
                <w:highlight w:val="none"/>
                <w:lang w:bidi="ar"/>
              </w:rPr>
              <w:t>深铁瑞城展示中心整体营销包装清单</w:t>
            </w:r>
          </w:p>
        </w:tc>
      </w:tr>
      <w:tr>
        <w:tblPrEx>
          <w:tblCellMar>
            <w:top w:w="0" w:type="dxa"/>
            <w:left w:w="0" w:type="dxa"/>
            <w:bottom w:w="0" w:type="dxa"/>
            <w:right w:w="0" w:type="dxa"/>
          </w:tblCellMar>
        </w:tblPrEx>
        <w:trPr>
          <w:trHeight w:val="889"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序号</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项目</w:t>
            </w:r>
          </w:p>
        </w:tc>
        <w:tc>
          <w:tcPr>
            <w:tcW w:w="4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备注</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规格</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单位</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数量</w:t>
            </w:r>
          </w:p>
        </w:tc>
      </w:tr>
      <w:tr>
        <w:tblPrEx>
          <w:tblCellMar>
            <w:top w:w="0" w:type="dxa"/>
            <w:left w:w="0" w:type="dxa"/>
            <w:bottom w:w="0" w:type="dxa"/>
            <w:right w:w="0" w:type="dxa"/>
          </w:tblCellMar>
        </w:tblPrEx>
        <w:trPr>
          <w:trHeight w:val="472" w:hRule="atLeast"/>
        </w:trPr>
        <w:tc>
          <w:tcPr>
            <w:tcW w:w="9600" w:type="dxa"/>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一、外围区域</w:t>
            </w:r>
          </w:p>
        </w:tc>
      </w:tr>
      <w:tr>
        <w:tblPrEx>
          <w:tblCellMar>
            <w:top w:w="0" w:type="dxa"/>
            <w:left w:w="0" w:type="dxa"/>
            <w:bottom w:w="0" w:type="dxa"/>
            <w:right w:w="0" w:type="dxa"/>
          </w:tblCellMar>
        </w:tblPrEx>
        <w:trPr>
          <w:trHeight w:val="2151"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主入口精神堡垒</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304#1.5MM厚度不锈钢金属结构，内置50*50MM方通金属框架，大理石结构，烤漆，双面，发光LOGO字，含地基混凝土加固</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1200*6000MM（H）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主入口道闸</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智能广告道闸，含双面广告画面，200万高清摄像头，控制机箱，显示屏，补光灯，无线遥控器，地感线圈，车辆检测器</w:t>
            </w:r>
            <w:r>
              <w:rPr>
                <w:rStyle w:val="197"/>
                <w:color w:val="000000"/>
                <w:highlight w:val="none"/>
                <w:lang w:bidi="ar"/>
              </w:rPr>
              <w:br w:type="textWrapping"/>
            </w:r>
            <w:r>
              <w:rPr>
                <w:rStyle w:val="82"/>
                <w:color w:val="000000"/>
                <w:highlight w:val="none"/>
                <w:lang w:bidi="ar"/>
              </w:rPr>
              <w:t>（甲方有权要求更换画面3次，质保1年）</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3800MM</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套</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2251"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岗亭</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80*80MM方通结构立柱，底座1.5MM不锈钢板，15MM钢板底座，12MM钢化玻璃，地毯，灯饰，1匹空调，整体电缆电路布置，内置配重，整体烤漆</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1800*1800*2600MM</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项</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通道左右两侧道旗</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80*80MM方通结构立柱，底座1.5MM不锈钢板，10MM钢板底座，内置配重，整体烤漆，高精度喷绘双面画面</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800*4500MM（H）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通道左右两侧魔方</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25*25MM方通金属框架，裱9MM夹板，高精度喷绘画面</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1200*1200*1200MM</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22</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横梁灯箱</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30*30MM方通金属框架，灯箱软膜，内置LED灯饰，含电缆电路布置</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8000*1200MM（H）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展示中心导视牌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304#1.5MM厚度不锈钢金属结构，整体烤漆，双面，发光LOGO及主标文字</w:t>
            </w:r>
            <w:r>
              <w:rPr>
                <w:rStyle w:val="197"/>
                <w:color w:val="000000"/>
                <w:highlight w:val="none"/>
                <w:lang w:bidi="ar"/>
              </w:rPr>
              <w:br w:type="textWrapping"/>
            </w:r>
            <w:r>
              <w:rPr>
                <w:rStyle w:val="82"/>
                <w:color w:val="000000"/>
                <w:highlight w:val="none"/>
                <w:lang w:bidi="ar"/>
              </w:rPr>
              <w:t>（甲方有权要求修改尺寸，工艺材质及造型样式，场地复原）</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800*3000MM（H）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展示中心昭示性背景板</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铝合金桁架结构，双面框架，双面刀刮布打UV画面，四周装饰相框边条</w:t>
            </w:r>
            <w:r>
              <w:rPr>
                <w:rStyle w:val="197"/>
                <w:color w:val="000000"/>
                <w:highlight w:val="none"/>
                <w:lang w:bidi="ar"/>
              </w:rPr>
              <w:br w:type="textWrapping"/>
            </w:r>
            <w:r>
              <w:rPr>
                <w:rStyle w:val="82"/>
                <w:color w:val="000000"/>
                <w:highlight w:val="none"/>
                <w:lang w:bidi="ar"/>
              </w:rPr>
              <w:t>（甲方有权要求修改尺寸，工艺材质及造型样式，更换画面2次）</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5000*3000MM（H）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项</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5</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导视牌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金属蓝牌，含地基结构，整体烤漆</w:t>
            </w:r>
            <w:r>
              <w:rPr>
                <w:rStyle w:val="197"/>
                <w:color w:val="000000"/>
                <w:highlight w:val="none"/>
                <w:lang w:bidi="ar"/>
              </w:rPr>
              <w:br w:type="textWrapping"/>
            </w:r>
            <w:r>
              <w:rPr>
                <w:rStyle w:val="82"/>
                <w:color w:val="000000"/>
                <w:highlight w:val="none"/>
                <w:lang w:bidi="ar"/>
              </w:rPr>
              <w:t>（甲方有权要求修改尺寸，工艺材质及造型样式，含半年使用报批</w:t>
            </w:r>
            <w:r>
              <w:rPr>
                <w:rStyle w:val="82"/>
                <w:rFonts w:hint="eastAsia" w:eastAsia="微软雅黑"/>
                <w:color w:val="000000"/>
                <w:highlight w:val="none"/>
                <w:lang w:val="en-US" w:eastAsia="zh-CN" w:bidi="ar"/>
              </w:rPr>
              <w:t>费</w:t>
            </w:r>
            <w:r>
              <w:rPr>
                <w:rStyle w:val="82"/>
                <w:color w:val="000000"/>
                <w:highlight w:val="none"/>
                <w:lang w:bidi="ar"/>
              </w:rPr>
              <w:t>与维护费用）</w:t>
            </w:r>
            <w:r>
              <w:rPr>
                <w:rStyle w:val="82"/>
                <w:color w:val="000000"/>
                <w:highlight w:val="none"/>
                <w:lang w:bidi="ar"/>
              </w:rPr>
              <w:br w:type="textWrapping"/>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600*2000MM（H）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6</w:t>
            </w:r>
          </w:p>
        </w:tc>
      </w:tr>
      <w:tr>
        <w:tblPrEx>
          <w:tblCellMar>
            <w:top w:w="0" w:type="dxa"/>
            <w:left w:w="0" w:type="dxa"/>
            <w:bottom w:w="0" w:type="dxa"/>
            <w:right w:w="0" w:type="dxa"/>
          </w:tblCellMar>
        </w:tblPrEx>
        <w:trPr>
          <w:trHeight w:val="1162"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展示中心周边树木包装</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树木金箔布褶皱包装</w:t>
            </w:r>
            <w:r>
              <w:rPr>
                <w:rStyle w:val="197"/>
                <w:color w:val="000000"/>
                <w:highlight w:val="none"/>
                <w:lang w:bidi="ar"/>
              </w:rPr>
              <w:br w:type="textWrapping"/>
            </w:r>
            <w:r>
              <w:rPr>
                <w:rStyle w:val="82"/>
                <w:color w:val="000000"/>
                <w:highlight w:val="none"/>
                <w:lang w:bidi="ar"/>
              </w:rPr>
              <w:t>（需更换金箔布2次）</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棵</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30</w:t>
            </w:r>
          </w:p>
        </w:tc>
      </w:tr>
      <w:tr>
        <w:tblPrEx>
          <w:tblCellMar>
            <w:top w:w="0" w:type="dxa"/>
            <w:left w:w="0" w:type="dxa"/>
            <w:bottom w:w="0" w:type="dxa"/>
            <w:right w:w="0" w:type="dxa"/>
          </w:tblCellMar>
        </w:tblPrEx>
        <w:trPr>
          <w:trHeight w:val="668" w:hRule="atLeast"/>
        </w:trPr>
        <w:tc>
          <w:tcPr>
            <w:tcW w:w="9600" w:type="dxa"/>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二、</w:t>
            </w:r>
            <w:r>
              <w:rPr>
                <w:rFonts w:hint="eastAsia" w:ascii="微软雅黑" w:hAnsi="微软雅黑" w:eastAsia="微软雅黑" w:cs="微软雅黑"/>
                <w:b/>
                <w:color w:val="000000"/>
                <w:kern w:val="0"/>
                <w:sz w:val="18"/>
                <w:szCs w:val="18"/>
                <w:highlight w:val="none"/>
                <w:lang w:eastAsia="zh-CN" w:bidi="ar"/>
              </w:rPr>
              <w:t>展示中心</w:t>
            </w:r>
            <w:r>
              <w:rPr>
                <w:rFonts w:hint="eastAsia" w:ascii="微软雅黑" w:hAnsi="微软雅黑" w:eastAsia="微软雅黑" w:cs="微软雅黑"/>
                <w:b/>
                <w:color w:val="000000"/>
                <w:kern w:val="0"/>
                <w:sz w:val="18"/>
                <w:szCs w:val="18"/>
                <w:highlight w:val="none"/>
                <w:lang w:bidi="ar"/>
              </w:rPr>
              <w:t>区域</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迎宾花柱</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1.2MM不锈钢饰面烤漆，项目LOGO丝印，内置25*25MM方通框架结构，高仿真花艺</w:t>
            </w:r>
            <w:r>
              <w:rPr>
                <w:rStyle w:val="197"/>
                <w:color w:val="000000"/>
                <w:highlight w:val="none"/>
                <w:lang w:bidi="ar"/>
              </w:rPr>
              <w:br w:type="textWrapping"/>
            </w:r>
            <w:r>
              <w:rPr>
                <w:rStyle w:val="82"/>
                <w:color w:val="000000"/>
                <w:highlight w:val="none"/>
                <w:lang w:bidi="ar"/>
              </w:rPr>
              <w:t>（甲方有权要求修改花艺颜色及款式，更换花艺2次）</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450*450*1300MM（H）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12</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雨伞架</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1.2MM不锈钢饰面，电镀，项目LOGO丝印，内置25*25MM方通框架结构</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300*800*800MM（H）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LOGO雨伞</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加厚款定制直柄雨伞，含四周LOGO及项目价值点电话号码丝印</w:t>
            </w:r>
            <w:r>
              <w:rPr>
                <w:rStyle w:val="197"/>
                <w:color w:val="000000"/>
                <w:highlight w:val="none"/>
                <w:lang w:bidi="ar"/>
              </w:rPr>
              <w:br w:type="textWrapping"/>
            </w:r>
            <w:r>
              <w:rPr>
                <w:rStyle w:val="82"/>
                <w:color w:val="000000"/>
                <w:highlight w:val="none"/>
                <w:lang w:bidi="ar"/>
              </w:rPr>
              <w:t>（甲方有权要求打样颜色及LOGO）</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1200*1200MM</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把</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100</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价值展板</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12MM双层钢化玻璃，内置双面1440写真画面，金属底座内置10MM钢板配重，项目LOGO丝印</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800*1800MM（H）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8</w:t>
            </w:r>
          </w:p>
        </w:tc>
      </w:tr>
      <w:tr>
        <w:tblPrEx>
          <w:tblCellMar>
            <w:top w:w="0" w:type="dxa"/>
            <w:left w:w="0" w:type="dxa"/>
            <w:bottom w:w="0" w:type="dxa"/>
            <w:right w:w="0" w:type="dxa"/>
          </w:tblCellMar>
        </w:tblPrEx>
        <w:trPr>
          <w:trHeight w:val="2151"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销售公式展板</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1.2MM不锈钢饰面烤漆，项目LOGO丝印，内置30*30MM方通框架结构，立体亚克力烤漆字，立体亚克力装饰边框，亚克力文件套夹</w:t>
            </w:r>
            <w:r>
              <w:rPr>
                <w:rStyle w:val="197"/>
                <w:color w:val="000000"/>
                <w:highlight w:val="none"/>
                <w:lang w:bidi="ar"/>
              </w:rPr>
              <w:br w:type="textWrapping"/>
            </w:r>
            <w:r>
              <w:rPr>
                <w:rStyle w:val="82"/>
                <w:color w:val="000000"/>
                <w:highlight w:val="none"/>
                <w:lang w:bidi="ar"/>
              </w:rPr>
              <w:t>（甲方有权要求修改尺寸，工艺材质及造型样式，含文件过塑）</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2400*1800MM（H）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资料展架</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1.2MM不锈钢饰面烤漆，项目LOGO丝印，内置25*25MM方通框架结构，10MM钢板配重</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800*1800MM（H）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4</w:t>
            </w:r>
          </w:p>
        </w:tc>
      </w:tr>
      <w:tr>
        <w:tblPrEx>
          <w:tblCellMar>
            <w:top w:w="0" w:type="dxa"/>
            <w:left w:w="0" w:type="dxa"/>
            <w:bottom w:w="0" w:type="dxa"/>
            <w:right w:w="0" w:type="dxa"/>
          </w:tblCellMar>
        </w:tblPrEx>
        <w:trPr>
          <w:trHeight w:val="2151"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公式文件架</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1.2MM不锈钢饰面烤漆，项目LOGO丝印，内置25*25MM方通框架结构，10MM钢板配重，含开合合页装置</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350*460*1000MM（H）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警示三角牌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1.2MM不锈钢饰面烤漆，项目LOGO丝印，含折叠装置及拉杆</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280*500MM（H）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10</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名片架</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1.2MM不锈钢饰面烤漆，项目LOGO丝印三层</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180*500*240MM（H）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接待铭牌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12MM厚度钢板激光雕刻，立体接待铭牌，含底座结构，整体烤漆</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260*260MM</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11</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小心台阶</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1.5MM拉丝不锈钢板，半腐蚀工艺，填冲黑漆</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240*80MM（H）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20</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销售接待台</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1.2MM不锈钢饰面烤漆，项目LOGO丝印，内置25*25MM方通框架结构</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900*450*1200MM（H）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13</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警示锥</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350*350*500MM（H）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20</w:t>
            </w:r>
          </w:p>
        </w:tc>
      </w:tr>
      <w:tr>
        <w:tblPrEx>
          <w:tblCellMar>
            <w:top w:w="0" w:type="dxa"/>
            <w:left w:w="0" w:type="dxa"/>
            <w:bottom w:w="0" w:type="dxa"/>
            <w:right w:w="0" w:type="dxa"/>
          </w:tblCellMar>
        </w:tblPrEx>
        <w:trPr>
          <w:trHeight w:val="1162"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14</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礼宾栏</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黑金高端礼宾栏，精致礼宾绳</w:t>
            </w:r>
            <w:r>
              <w:rPr>
                <w:rStyle w:val="197"/>
                <w:color w:val="000000"/>
                <w:highlight w:val="none"/>
                <w:lang w:bidi="ar"/>
              </w:rPr>
              <w:br w:type="textWrapping"/>
            </w:r>
            <w:r>
              <w:rPr>
                <w:rStyle w:val="82"/>
                <w:color w:val="000000"/>
                <w:highlight w:val="none"/>
                <w:lang w:bidi="ar"/>
              </w:rPr>
              <w:t>（甲方有权要求修改材质，颜色及造型样式）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300*300*1000MM（H）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30</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15</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铁马</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1.5MM不锈钢，壁厚0.6MM，铁马，含LOGO牌及丝印</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1500*1100MM（H）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30</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16</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垃圾桶</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涤纶夹PVC材质，热熔镶嵌LOGO定制</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370*180MM（H）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r>
      <w:tr>
        <w:tblPrEx>
          <w:tblCellMar>
            <w:top w:w="0" w:type="dxa"/>
            <w:left w:w="0" w:type="dxa"/>
            <w:bottom w:w="0" w:type="dxa"/>
            <w:right w:w="0" w:type="dxa"/>
          </w:tblCellMar>
        </w:tblPrEx>
        <w:trPr>
          <w:trHeight w:val="2151"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17</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金蛋台</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12MM夹板木结构，五层次异型造型，搭配烤漆礼物盒6个，高仿真花艺3组，含金蛋100个，金蛋锤，金片10包</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2800*1600*18000MM（H）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162"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18</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广告机</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4K分辨率，55寸液晶电视广告机，立式触摸屏，电脑版：I5+4G+128G内存，项目LOGO丝印</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748*1915MM（H）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台</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w:t>
            </w:r>
          </w:p>
        </w:tc>
      </w:tr>
      <w:tr>
        <w:tblPrEx>
          <w:tblCellMar>
            <w:top w:w="0" w:type="dxa"/>
            <w:left w:w="0" w:type="dxa"/>
            <w:bottom w:w="0" w:type="dxa"/>
            <w:right w:w="0" w:type="dxa"/>
          </w:tblCellMar>
        </w:tblPrEx>
        <w:trPr>
          <w:trHeight w:val="889"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19</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擦鞋机</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黑色无指纹款，含项目LOGO丝印，含擦鞋油5瓶</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510*260*730MM（H）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台</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618"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液晶电视机</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4K超高清，品牌液晶电视机，含电视机支架</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72寸</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台</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21</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地毯1</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涤纶夹PVC材质，热熔镶嵌LOGO定制</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3700*1800MM（H）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22</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地毯2</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涤纶夹PVC材质，热熔镶嵌LOGO定制</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1500*1000MM（H）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23</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展架画架相框</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纯木落地式可调节画架，木质相框</w:t>
            </w:r>
            <w:r>
              <w:rPr>
                <w:rStyle w:val="197"/>
                <w:color w:val="000000"/>
                <w:highlight w:val="none"/>
                <w:lang w:bidi="ar"/>
              </w:rPr>
              <w:br w:type="textWrapping"/>
            </w:r>
            <w:r>
              <w:rPr>
                <w:rStyle w:val="82"/>
                <w:color w:val="000000"/>
                <w:highlight w:val="none"/>
                <w:lang w:bidi="ar"/>
              </w:rPr>
              <w:t>（甲方有权要求修改尺寸，工艺材质及造型样式，需含更换画面2次）</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900*1600MM（H）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20</w:t>
            </w:r>
          </w:p>
        </w:tc>
      </w:tr>
      <w:tr>
        <w:tblPrEx>
          <w:tblCellMar>
            <w:top w:w="0" w:type="dxa"/>
            <w:left w:w="0" w:type="dxa"/>
            <w:bottom w:w="0" w:type="dxa"/>
            <w:right w:w="0" w:type="dxa"/>
          </w:tblCellMar>
        </w:tblPrEx>
        <w:trPr>
          <w:trHeight w:val="618"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易拉宝</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高精度写真画面</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800*2000MM（H）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50</w:t>
            </w:r>
          </w:p>
        </w:tc>
      </w:tr>
      <w:tr>
        <w:tblPrEx>
          <w:tblCellMar>
            <w:top w:w="0" w:type="dxa"/>
            <w:left w:w="0" w:type="dxa"/>
            <w:bottom w:w="0" w:type="dxa"/>
            <w:right w:w="0" w:type="dxa"/>
          </w:tblCellMar>
        </w:tblPrEx>
        <w:trPr>
          <w:trHeight w:val="469"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25</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销售龙虎榜</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10MM亚克力，背面UV彩白彩， 含可擦水性笔10支</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2400*1200MM（H）</w:t>
            </w:r>
          </w:p>
        </w:tc>
        <w:tc>
          <w:tcPr>
            <w:tcW w:w="4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项</w:t>
            </w:r>
          </w:p>
        </w:tc>
        <w:tc>
          <w:tcPr>
            <w:tcW w:w="4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4</w:t>
            </w:r>
          </w:p>
        </w:tc>
      </w:tr>
      <w:tr>
        <w:tblPrEx>
          <w:tblCellMar>
            <w:top w:w="0" w:type="dxa"/>
            <w:left w:w="0" w:type="dxa"/>
            <w:bottom w:w="0" w:type="dxa"/>
            <w:right w:w="0" w:type="dxa"/>
          </w:tblCellMar>
        </w:tblPrEx>
        <w:trPr>
          <w:trHeight w:val="668" w:hRule="atLeast"/>
        </w:trPr>
        <w:tc>
          <w:tcPr>
            <w:tcW w:w="9600" w:type="dxa"/>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三、样板房区域</w:t>
            </w:r>
          </w:p>
        </w:tc>
      </w:tr>
      <w:tr>
        <w:tblPrEx>
          <w:tblCellMar>
            <w:top w:w="0" w:type="dxa"/>
            <w:left w:w="0" w:type="dxa"/>
            <w:bottom w:w="0" w:type="dxa"/>
            <w:right w:w="0" w:type="dxa"/>
          </w:tblCellMar>
        </w:tblPrEx>
        <w:trPr>
          <w:trHeight w:val="618"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LOGO鞋套</w:t>
            </w:r>
          </w:p>
        </w:tc>
        <w:tc>
          <w:tcPr>
            <w:tcW w:w="4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布艺鞋套，刺绣LOGO</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双</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200</w:t>
            </w:r>
          </w:p>
        </w:tc>
      </w:tr>
      <w:tr>
        <w:tblPrEx>
          <w:tblCellMar>
            <w:top w:w="0" w:type="dxa"/>
            <w:left w:w="0" w:type="dxa"/>
            <w:bottom w:w="0" w:type="dxa"/>
            <w:right w:w="0" w:type="dxa"/>
          </w:tblCellMar>
        </w:tblPrEx>
        <w:trPr>
          <w:trHeight w:val="889"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鞋套收纳筐与皮质座椅</w:t>
            </w:r>
          </w:p>
        </w:tc>
        <w:tc>
          <w:tcPr>
            <w:tcW w:w="4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藤编鞋套收纳筐，含已使用和未使用标识牌，皮质座椅2张</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样板房导视牌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1.2MM不锈钢饰面烤漆，项目LOGO丝印，内置30*30MM方通框架结构，立体亚克力烤漆字</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500*1800MM（H）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131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树木吊牌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304#1.5MM厚度不锈钢金属结构，含丝印项目LOGO</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260*260MM</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园林花草温馨提示牌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1.2MM不锈钢饰面烤漆，项目LOGO丝印，内置25*25MM方通框架结构，10MM钢板配重</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600*330*700MM（H）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样板房户型牌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1.5MM拉丝不锈钢板，半腐蚀工艺，填冲黑漆，四周15*15MM立体边框</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300*560MM（H）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样板房交付标准牌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1.5MM拉丝不锈钢板，半腐蚀工艺，填冲黑漆，四周15*15MM立体边框</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300*560MM（H）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725"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玻璃防撞条</w:t>
            </w:r>
          </w:p>
        </w:tc>
        <w:tc>
          <w:tcPr>
            <w:tcW w:w="49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磨砂UV防撞条，所有展示中心及样板房玻璃门窗</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项</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889"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交楼标准贴</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定制设计交楼标准与非交楼标准贴（需可移后续好清理材质）</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260*150MM（H）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张</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100</w:t>
            </w:r>
          </w:p>
        </w:tc>
      </w:tr>
      <w:tr>
        <w:tblPrEx>
          <w:tblCellMar>
            <w:top w:w="0" w:type="dxa"/>
            <w:left w:w="0" w:type="dxa"/>
            <w:bottom w:w="0" w:type="dxa"/>
            <w:right w:w="0" w:type="dxa"/>
          </w:tblCellMar>
        </w:tblPrEx>
        <w:trPr>
          <w:trHeight w:val="1730"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样板房请勿提示牌</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1.5MM拉丝不锈钢板，半腐蚀工艺，填冲黑漆，立式三角形</w:t>
            </w:r>
            <w:r>
              <w:rPr>
                <w:rStyle w:val="197"/>
                <w:color w:val="000000"/>
                <w:highlight w:val="none"/>
                <w:lang w:bidi="ar"/>
              </w:rPr>
              <w:br w:type="textWrapping"/>
            </w:r>
            <w:r>
              <w:rPr>
                <w:rStyle w:val="82"/>
                <w:color w:val="000000"/>
                <w:highlight w:val="none"/>
                <w:lang w:bidi="ar"/>
              </w:rPr>
              <w:t>（甲方有权要求修改尺寸，工艺材质及造型样式）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260*150MM（H）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40</w:t>
            </w:r>
          </w:p>
        </w:tc>
      </w:tr>
      <w:tr>
        <w:tblPrEx>
          <w:tblCellMar>
            <w:top w:w="0" w:type="dxa"/>
            <w:left w:w="0" w:type="dxa"/>
            <w:bottom w:w="0" w:type="dxa"/>
            <w:right w:w="0" w:type="dxa"/>
          </w:tblCellMar>
        </w:tblPrEx>
        <w:trPr>
          <w:trHeight w:val="1162"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11</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看楼通道地毯</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color w:val="000000"/>
                <w:highlight w:val="none"/>
                <w:lang w:bidi="ar"/>
              </w:rPr>
              <w:t>加厚圈绒地毯</w:t>
            </w:r>
            <w:r>
              <w:rPr>
                <w:rStyle w:val="197"/>
                <w:color w:val="000000"/>
                <w:highlight w:val="none"/>
                <w:lang w:bidi="ar"/>
              </w:rPr>
              <w:br w:type="textWrapping"/>
            </w:r>
            <w:r>
              <w:rPr>
                <w:rStyle w:val="82"/>
                <w:color w:val="000000"/>
                <w:highlight w:val="none"/>
                <w:lang w:bidi="ar"/>
              </w:rPr>
              <w:t>（甲方有权要求修改尺寸，工艺材质及颜色）</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平方</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w:t>
            </w:r>
          </w:p>
        </w:tc>
      </w:tr>
      <w:tr>
        <w:tblPrEx>
          <w:tblCellMar>
            <w:top w:w="0" w:type="dxa"/>
            <w:left w:w="0" w:type="dxa"/>
            <w:bottom w:w="0" w:type="dxa"/>
            <w:right w:w="0" w:type="dxa"/>
          </w:tblCellMar>
        </w:tblPrEx>
        <w:trPr>
          <w:trHeight w:val="1329" w:hRule="atLeast"/>
        </w:trPr>
        <w:tc>
          <w:tcPr>
            <w:tcW w:w="54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w:t>
            </w:r>
          </w:p>
        </w:tc>
        <w:tc>
          <w:tcPr>
            <w:tcW w:w="13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手机储物柜</w:t>
            </w:r>
          </w:p>
        </w:tc>
        <w:tc>
          <w:tcPr>
            <w:tcW w:w="49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Style w:val="197"/>
                <w:color w:val="000000"/>
                <w:highlight w:val="none"/>
                <w:lang w:bidi="ar"/>
              </w:rPr>
            </w:pPr>
            <w:r>
              <w:rPr>
                <w:rStyle w:val="197"/>
                <w:color w:val="000000"/>
                <w:highlight w:val="none"/>
                <w:lang w:bidi="ar"/>
              </w:rPr>
              <w:t>金属材质，烤漆，手机充电款，60门</w:t>
            </w:r>
          </w:p>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82"/>
                <w:color w:val="000000"/>
                <w:highlight w:val="none"/>
                <w:lang w:bidi="ar"/>
              </w:rPr>
              <w:t>（甲方有权要求修改尺寸，颜色，工艺材质及造型样式）</w:t>
            </w:r>
          </w:p>
        </w:tc>
        <w:tc>
          <w:tcPr>
            <w:tcW w:w="19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300*950*1820MM（H）</w:t>
            </w:r>
          </w:p>
        </w:tc>
        <w:tc>
          <w:tcPr>
            <w:tcW w:w="41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2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bl>
    <w:p>
      <w:pPr>
        <w:pStyle w:val="2"/>
        <w:spacing w:line="440" w:lineRule="exact"/>
        <w:ind w:firstLine="392"/>
        <w:rPr>
          <w:rFonts w:hint="eastAsia"/>
          <w:color w:val="000000"/>
          <w:highlight w:val="none"/>
        </w:rPr>
      </w:pPr>
    </w:p>
    <w:p>
      <w:pPr>
        <w:pStyle w:val="2"/>
        <w:spacing w:line="440" w:lineRule="exact"/>
        <w:ind w:firstLine="392"/>
        <w:rPr>
          <w:color w:val="000000"/>
          <w:highlight w:val="none"/>
        </w:rPr>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三、比选控制价格</w:t>
      </w:r>
      <w:bookmarkEnd w:id="25"/>
    </w:p>
    <w:p>
      <w:pPr>
        <w:pStyle w:val="24"/>
        <w:spacing w:line="360" w:lineRule="auto"/>
        <w:ind w:firstLine="480" w:firstLineChars="200"/>
        <w:rPr>
          <w:rFonts w:hint="eastAsia" w:ascii="宋体" w:hAnsi="宋体"/>
          <w:sz w:val="24"/>
          <w:szCs w:val="24"/>
          <w:highlight w:val="none"/>
        </w:rPr>
      </w:pPr>
      <w:r>
        <w:rPr>
          <w:rFonts w:hint="eastAsia" w:hAnsi="宋体" w:eastAsia="宋体" w:cs="Times New Roman"/>
          <w:sz w:val="24"/>
          <w:szCs w:val="24"/>
          <w:highlight w:val="none"/>
        </w:rPr>
        <w:t>深铁瑞城系列营销活动与现场包装</w:t>
      </w:r>
      <w:r>
        <w:rPr>
          <w:rFonts w:hint="eastAsia" w:hAnsi="宋体"/>
          <w:sz w:val="24"/>
          <w:szCs w:val="24"/>
          <w:highlight w:val="none"/>
        </w:rPr>
        <w:t>服务</w:t>
      </w:r>
      <w:r>
        <w:rPr>
          <w:rFonts w:hint="eastAsia" w:hAnsi="宋体" w:cs="宋体"/>
          <w:bCs/>
          <w:kern w:val="2"/>
          <w:sz w:val="24"/>
          <w:szCs w:val="24"/>
          <w:highlight w:val="none"/>
        </w:rPr>
        <w:t>总控制价为</w:t>
      </w:r>
      <w:r>
        <w:rPr>
          <w:rFonts w:hint="eastAsia" w:hAnsi="宋体" w:cs="宋体"/>
          <w:bCs/>
          <w:kern w:val="2"/>
          <w:sz w:val="24"/>
          <w:szCs w:val="24"/>
          <w:highlight w:val="none"/>
          <w:lang w:val="en-US" w:eastAsia="zh-CN"/>
        </w:rPr>
        <w:t>165</w:t>
      </w:r>
      <w:r>
        <w:rPr>
          <w:rFonts w:hint="eastAsia" w:hAnsi="宋体" w:cs="宋体"/>
          <w:bCs/>
          <w:kern w:val="2"/>
          <w:sz w:val="24"/>
          <w:szCs w:val="24"/>
          <w:highlight w:val="none"/>
        </w:rPr>
        <w:t>万元（含税）。其中</w:t>
      </w:r>
      <w:r>
        <w:rPr>
          <w:rFonts w:hint="eastAsia" w:hAnsi="宋体" w:eastAsia="宋体" w:cs="宋体"/>
          <w:bCs/>
          <w:kern w:val="2"/>
          <w:sz w:val="24"/>
          <w:szCs w:val="24"/>
          <w:highlight w:val="none"/>
        </w:rPr>
        <w:t>系列营销活动控制价为</w:t>
      </w:r>
      <w:r>
        <w:rPr>
          <w:rFonts w:hint="eastAsia" w:hAnsi="宋体" w:eastAsia="宋体" w:cs="宋体"/>
          <w:bCs/>
          <w:kern w:val="2"/>
          <w:sz w:val="24"/>
          <w:szCs w:val="24"/>
          <w:highlight w:val="none"/>
          <w:lang w:val="en-US" w:eastAsia="zh-CN"/>
        </w:rPr>
        <w:t>80</w:t>
      </w:r>
      <w:r>
        <w:rPr>
          <w:rFonts w:hint="eastAsia" w:hAnsi="宋体" w:eastAsia="宋体" w:cs="宋体"/>
          <w:bCs/>
          <w:kern w:val="2"/>
          <w:sz w:val="24"/>
          <w:szCs w:val="24"/>
          <w:highlight w:val="none"/>
        </w:rPr>
        <w:t>万元（含税），</w:t>
      </w:r>
      <w:r>
        <w:rPr>
          <w:rFonts w:hint="eastAsia" w:hAnsi="宋体" w:eastAsia="宋体" w:cs="宋体"/>
          <w:bCs/>
          <w:kern w:val="2"/>
          <w:sz w:val="24"/>
          <w:szCs w:val="24"/>
          <w:highlight w:val="none"/>
          <w:lang w:val="en-US" w:eastAsia="zh-CN"/>
        </w:rPr>
        <w:t>现场包装服务</w:t>
      </w:r>
      <w:r>
        <w:rPr>
          <w:rFonts w:hint="eastAsia" w:hAnsi="宋体" w:eastAsia="宋体" w:cs="宋体"/>
          <w:bCs/>
          <w:kern w:val="2"/>
          <w:sz w:val="24"/>
          <w:szCs w:val="24"/>
          <w:highlight w:val="none"/>
        </w:rPr>
        <w:t>控制价为</w:t>
      </w:r>
      <w:r>
        <w:rPr>
          <w:rFonts w:hint="eastAsia" w:hAnsi="宋体" w:eastAsia="宋体" w:cs="宋体"/>
          <w:bCs/>
          <w:kern w:val="2"/>
          <w:sz w:val="24"/>
          <w:szCs w:val="24"/>
          <w:highlight w:val="none"/>
          <w:lang w:val="en-US" w:eastAsia="zh-CN"/>
        </w:rPr>
        <w:t>85万</w:t>
      </w:r>
      <w:r>
        <w:rPr>
          <w:rFonts w:hint="eastAsia" w:hAnsi="宋体" w:eastAsia="宋体" w:cs="宋体"/>
          <w:bCs/>
          <w:kern w:val="2"/>
          <w:sz w:val="24"/>
          <w:szCs w:val="24"/>
          <w:highlight w:val="none"/>
        </w:rPr>
        <w:t>元（含税）</w:t>
      </w:r>
      <w:r>
        <w:rPr>
          <w:rFonts w:hint="eastAsia" w:hAnsi="宋体" w:cs="宋体"/>
          <w:bCs/>
          <w:kern w:val="2"/>
          <w:sz w:val="24"/>
          <w:szCs w:val="24"/>
          <w:highlight w:val="none"/>
        </w:rPr>
        <w:t>。</w:t>
      </w:r>
      <w:r>
        <w:rPr>
          <w:rFonts w:hint="eastAsia" w:ascii="宋体" w:hAnsi="宋体"/>
          <w:sz w:val="24"/>
          <w:szCs w:val="24"/>
          <w:highlight w:val="none"/>
        </w:rPr>
        <w:t>超过参选报价上限按无效标处理。</w:t>
      </w:r>
    </w:p>
    <w:p>
      <w:pPr>
        <w:pStyle w:val="24"/>
        <w:ind w:firstLine="480" w:firstLineChars="200"/>
        <w:rPr>
          <w:rFonts w:hint="eastAsia" w:hAnsi="宋体"/>
          <w:kern w:val="2"/>
          <w:sz w:val="24"/>
          <w:szCs w:val="24"/>
          <w:highlight w:val="none"/>
        </w:rPr>
      </w:pP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highlight w:val="none"/>
        </w:rPr>
      </w:pPr>
      <w:bookmarkStart w:id="26" w:name="_Toc57731948"/>
      <w:r>
        <w:rPr>
          <w:rFonts w:hint="eastAsia" w:ascii="宋体" w:hAnsi="宋体"/>
          <w:b/>
          <w:kern w:val="0"/>
          <w:sz w:val="24"/>
          <w:szCs w:val="24"/>
          <w:highlight w:val="none"/>
        </w:rPr>
        <w:t>四、参选人资格要求</w:t>
      </w:r>
      <w:bookmarkEnd w:id="26"/>
    </w:p>
    <w:p>
      <w:pPr>
        <w:spacing w:line="360" w:lineRule="auto"/>
        <w:ind w:firstLine="480" w:firstLineChars="200"/>
        <w:jc w:val="left"/>
        <w:rPr>
          <w:rFonts w:hint="eastAsia" w:ascii="Times New Roman" w:hAnsi="宋体" w:eastAsia="宋体" w:cs="Times New Roman"/>
          <w:kern w:val="0"/>
          <w:sz w:val="24"/>
          <w:szCs w:val="24"/>
          <w:highlight w:val="none"/>
        </w:rPr>
      </w:pPr>
      <w:bookmarkStart w:id="27" w:name="_Hlk77372483"/>
      <w:bookmarkStart w:id="28" w:name="_Toc57731949"/>
      <w:r>
        <w:rPr>
          <w:rFonts w:hint="eastAsia" w:ascii="Times New Roman" w:hAnsi="宋体" w:eastAsia="宋体" w:cs="Times New Roman"/>
          <w:kern w:val="0"/>
          <w:sz w:val="24"/>
          <w:szCs w:val="24"/>
          <w:highlight w:val="none"/>
        </w:rPr>
        <w:t>（一）公司必须是在中华人民共和国境内注册的独立法人机构。公司注册成立时间不得晚于2013年12月31日。</w:t>
      </w:r>
    </w:p>
    <w:p>
      <w:pPr>
        <w:spacing w:line="360" w:lineRule="auto"/>
        <w:ind w:firstLine="480" w:firstLineChars="200"/>
        <w:jc w:val="left"/>
        <w:rPr>
          <w:rFonts w:hint="eastAsia" w:ascii="Times New Roman" w:hAnsi="宋体" w:eastAsia="宋体" w:cs="Times New Roman"/>
          <w:kern w:val="0"/>
          <w:sz w:val="24"/>
          <w:szCs w:val="24"/>
          <w:highlight w:val="none"/>
        </w:rPr>
      </w:pPr>
      <w:r>
        <w:rPr>
          <w:rFonts w:hint="eastAsia" w:ascii="Times New Roman" w:hAnsi="宋体" w:eastAsia="宋体" w:cs="Times New Roman"/>
          <w:kern w:val="0"/>
          <w:sz w:val="24"/>
          <w:szCs w:val="24"/>
          <w:highlight w:val="none"/>
        </w:rPr>
        <w:t>（二）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w:t>
      </w:r>
    </w:p>
    <w:p>
      <w:pPr>
        <w:spacing w:line="360" w:lineRule="auto"/>
        <w:ind w:firstLine="480" w:firstLineChars="200"/>
        <w:jc w:val="left"/>
        <w:rPr>
          <w:rFonts w:hint="eastAsia" w:ascii="Times New Roman" w:hAnsi="宋体" w:eastAsia="宋体" w:cs="Times New Roman"/>
          <w:kern w:val="0"/>
          <w:sz w:val="24"/>
          <w:szCs w:val="24"/>
          <w:highlight w:val="none"/>
        </w:rPr>
      </w:pPr>
      <w:r>
        <w:rPr>
          <w:rFonts w:hint="eastAsia" w:ascii="Times New Roman" w:hAnsi="宋体" w:eastAsia="宋体" w:cs="Times New Roman"/>
          <w:kern w:val="0"/>
          <w:sz w:val="24"/>
          <w:szCs w:val="24"/>
          <w:highlight w:val="none"/>
        </w:rPr>
        <w:t>（三））本项目不接受2017年1月1日以来，有串通参选不良行为记录或涉嫌串通参选，并正在接受城市主管部门调查的参选申请人不得参选；在深圳市地铁集团有限公司或其下属直管单位存在违约行为的参选人；与深圳市地铁集团有限公司或其下属直管单位有过诉讼、仲裁的；在招参选（询价）活动（包括在深圳地铁项目）中因串通参选（报价）被暂停参选（报价）资格期间；或涉嫌串通参选（报价）并正在接受主管部门调查的。</w:t>
      </w:r>
    </w:p>
    <w:p>
      <w:pPr>
        <w:spacing w:line="360" w:lineRule="auto"/>
        <w:ind w:firstLine="480" w:firstLineChars="200"/>
        <w:jc w:val="left"/>
        <w:rPr>
          <w:rFonts w:hint="eastAsia" w:ascii="Times New Roman" w:hAnsi="宋体" w:eastAsia="宋体" w:cs="Times New Roman"/>
          <w:kern w:val="0"/>
          <w:sz w:val="24"/>
          <w:szCs w:val="24"/>
          <w:highlight w:val="none"/>
        </w:rPr>
      </w:pPr>
      <w:r>
        <w:rPr>
          <w:rFonts w:hint="eastAsia" w:ascii="Times New Roman" w:hAnsi="宋体" w:eastAsia="宋体" w:cs="Times New Roman"/>
          <w:kern w:val="0"/>
          <w:sz w:val="24"/>
          <w:szCs w:val="24"/>
          <w:highlight w:val="none"/>
        </w:rPr>
        <w:t>（四）本项目不接受联合体参选。单位负责人为同一人或者存在控股、管理关系的不同单位，不得参加同一项目比选</w:t>
      </w:r>
    </w:p>
    <w:p>
      <w:pPr>
        <w:spacing w:line="360" w:lineRule="auto"/>
        <w:ind w:firstLine="480" w:firstLineChars="200"/>
        <w:rPr>
          <w:rFonts w:hint="eastAsia" w:ascii="宋体" w:hAnsi="宋体"/>
          <w:kern w:val="0"/>
          <w:sz w:val="24"/>
          <w:szCs w:val="24"/>
          <w:highlight w:val="none"/>
        </w:rPr>
      </w:pPr>
    </w:p>
    <w:bookmarkEnd w:id="27"/>
    <w:p>
      <w:pPr>
        <w:spacing w:line="360" w:lineRule="auto"/>
        <w:ind w:firstLine="482" w:firstLineChars="200"/>
        <w:rPr>
          <w:rFonts w:ascii="宋体" w:hAnsi="宋体"/>
          <w:b/>
          <w:kern w:val="0"/>
          <w:sz w:val="24"/>
          <w:szCs w:val="24"/>
          <w:highlight w:val="none"/>
        </w:rPr>
      </w:pPr>
      <w:r>
        <w:rPr>
          <w:rFonts w:hint="eastAsia" w:ascii="宋体" w:hAnsi="宋体"/>
          <w:b/>
          <w:kern w:val="0"/>
          <w:sz w:val="24"/>
          <w:szCs w:val="24"/>
          <w:highlight w:val="none"/>
        </w:rPr>
        <w:t>五、参选时间、</w:t>
      </w:r>
      <w:r>
        <w:rPr>
          <w:rFonts w:ascii="宋体" w:hAnsi="宋体"/>
          <w:b/>
          <w:kern w:val="0"/>
          <w:sz w:val="24"/>
          <w:szCs w:val="24"/>
          <w:highlight w:val="none"/>
        </w:rPr>
        <w:t>地点</w:t>
      </w:r>
      <w:bookmarkEnd w:id="28"/>
    </w:p>
    <w:tbl>
      <w:tblPr>
        <w:tblStyle w:val="47"/>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cs="宋体"/>
                <w:bCs/>
                <w:kern w:val="2"/>
                <w:sz w:val="21"/>
                <w:szCs w:val="21"/>
                <w:highlight w:val="none"/>
              </w:rPr>
            </w:pPr>
            <w:r>
              <w:rPr>
                <w:rFonts w:hint="eastAsia" w:ascii="宋体" w:hAnsi="宋体" w:cs="宋体"/>
                <w:bCs/>
                <w:kern w:val="2"/>
                <w:sz w:val="21"/>
                <w:szCs w:val="21"/>
                <w:highlight w:val="none"/>
              </w:rPr>
              <w:t>发布比选公告</w:t>
            </w:r>
          </w:p>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highlight w:val="none"/>
              </w:rPr>
            </w:pPr>
            <w:r>
              <w:rPr>
                <w:rFonts w:hint="eastAsia" w:ascii="宋体" w:hAnsi="宋体" w:cs="宋体"/>
                <w:bCs/>
                <w:szCs w:val="21"/>
                <w:highlight w:val="none"/>
              </w:rPr>
              <w:t xml:space="preserve">   </w:t>
            </w:r>
            <w:r>
              <w:rPr>
                <w:rFonts w:hint="eastAsia" w:ascii="宋体" w:hAnsi="宋体" w:cs="宋体"/>
                <w:bCs/>
                <w:szCs w:val="21"/>
                <w:highlight w:val="none"/>
                <w:lang w:val="en-US" w:eastAsia="zh-CN"/>
              </w:rPr>
              <w:t>2021年9月</w:t>
            </w:r>
            <w:r>
              <w:rPr>
                <w:rFonts w:hint="eastAsia" w:ascii="宋体" w:hAnsi="宋体" w:cs="宋体"/>
                <w:bCs/>
                <w:szCs w:val="21"/>
                <w:highlight w:val="none"/>
              </w:rPr>
              <w:t xml:space="preserve"> </w:t>
            </w:r>
            <w:r>
              <w:rPr>
                <w:rFonts w:hint="eastAsia" w:ascii="宋体" w:hAnsi="宋体" w:cs="宋体"/>
                <w:bCs/>
                <w:szCs w:val="21"/>
                <w:highlight w:val="none"/>
                <w:lang w:val="en-US" w:eastAsia="zh-CN"/>
              </w:rPr>
              <w:t>7</w:t>
            </w:r>
            <w:r>
              <w:rPr>
                <w:rFonts w:hint="eastAsia" w:ascii="宋体" w:hAnsi="宋体" w:cs="宋体"/>
                <w:bCs/>
                <w:szCs w:val="21"/>
                <w:highlight w:val="none"/>
              </w:rPr>
              <w:t xml:space="preserve">  日</w:t>
            </w:r>
          </w:p>
          <w:p>
            <w:pPr>
              <w:adjustRightInd w:val="0"/>
              <w:snapToGrid w:val="0"/>
              <w:jc w:val="center"/>
              <w:rPr>
                <w:rFonts w:hint="eastAsia" w:ascii="宋体" w:hAnsi="宋体" w:cs="宋体"/>
                <w:bCs/>
                <w:szCs w:val="21"/>
                <w:highlight w:val="none"/>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484" w:leftChars="44" w:hanging="392" w:hangingChars="187"/>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深圳市地铁集团有限公司外网</w:t>
            </w:r>
            <w:r>
              <w:rPr>
                <w:rFonts w:hint="eastAsia" w:ascii="宋体" w:hAnsi="宋体" w:cs="宋体"/>
                <w:color w:val="000000"/>
                <w:sz w:val="21"/>
                <w:szCs w:val="21"/>
                <w:highlight w:val="none"/>
              </w:rPr>
              <w:t>、</w:t>
            </w:r>
            <w:r>
              <w:rPr>
                <w:rFonts w:hint="eastAsia" w:ascii="宋体" w:hAnsi="宋体" w:cs="宋体"/>
                <w:bCs/>
                <w:kern w:val="2"/>
                <w:sz w:val="21"/>
                <w:szCs w:val="21"/>
                <w:highlight w:val="none"/>
              </w:rPr>
              <w:t>国资委阳光采购平台、</w:t>
            </w:r>
            <w:r>
              <w:rPr>
                <w:rFonts w:hint="eastAsia" w:ascii="宋体" w:hAnsi="宋体" w:cs="宋体"/>
                <w:bCs/>
                <w:kern w:val="2"/>
                <w:sz w:val="21"/>
                <w:szCs w:val="21"/>
                <w:highlight w:val="none"/>
                <w:lang w:val="en-US" w:eastAsia="zh-CN"/>
              </w:rPr>
              <w:t>深铁招采网、</w:t>
            </w:r>
            <w:r>
              <w:rPr>
                <w:rFonts w:hint="eastAsia" w:ascii="宋体" w:hAnsi="宋体" w:cs="宋体"/>
                <w:bCs/>
                <w:kern w:val="2"/>
                <w:sz w:val="21"/>
                <w:szCs w:val="21"/>
                <w:highlight w:val="none"/>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2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highlight w:val="none"/>
              </w:rPr>
            </w:pPr>
            <w:r>
              <w:rPr>
                <w:rFonts w:hint="eastAsia" w:ascii="宋体" w:hAnsi="宋体" w:cs="宋体"/>
                <w:bCs/>
                <w:szCs w:val="21"/>
                <w:highlight w:val="none"/>
                <w:lang w:val="en-US" w:eastAsia="zh-CN"/>
              </w:rPr>
              <w:t>2021年9月</w:t>
            </w:r>
            <w:r>
              <w:rPr>
                <w:rFonts w:hint="eastAsia" w:ascii="宋体" w:hAnsi="宋体" w:cs="宋体"/>
                <w:bCs/>
                <w:szCs w:val="21"/>
                <w:highlight w:val="none"/>
              </w:rPr>
              <w:t xml:space="preserve"> </w:t>
            </w:r>
            <w:r>
              <w:rPr>
                <w:rFonts w:hint="eastAsia" w:ascii="宋体" w:hAnsi="宋体" w:cs="宋体"/>
                <w:bCs/>
                <w:szCs w:val="21"/>
                <w:highlight w:val="none"/>
                <w:lang w:val="en-US" w:eastAsia="zh-CN"/>
              </w:rPr>
              <w:t>20</w:t>
            </w:r>
            <w:r>
              <w:rPr>
                <w:rFonts w:hint="eastAsia" w:ascii="宋体" w:hAnsi="宋体" w:cs="宋体"/>
                <w:bCs/>
                <w:szCs w:val="21"/>
                <w:highlight w:val="none"/>
              </w:rPr>
              <w:t xml:space="preserve">  日上午09:30</w:t>
            </w:r>
          </w:p>
          <w:p>
            <w:pPr>
              <w:adjustRightInd w:val="0"/>
              <w:snapToGrid w:val="0"/>
              <w:jc w:val="center"/>
              <w:rPr>
                <w:rFonts w:hint="eastAsia" w:ascii="宋体" w:hAnsi="宋体" w:cs="宋体"/>
                <w:bCs/>
                <w:szCs w:val="21"/>
                <w:highlight w:val="none"/>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281" w:leftChars="44" w:hanging="189" w:hangingChars="90"/>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1.纸质版参选文件递交地点：地铁大厦1楼评定标中心指定会议室</w:t>
            </w:r>
          </w:p>
          <w:p>
            <w:pPr>
              <w:pStyle w:val="3"/>
              <w:adjustRightInd w:val="0"/>
              <w:snapToGrid w:val="0"/>
              <w:spacing w:line="240" w:lineRule="auto"/>
              <w:ind w:left="484" w:leftChars="44" w:hanging="392" w:hangingChars="187"/>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2.电子版参选文件递交平台：深圳地铁智能招采系统</w:t>
            </w:r>
          </w:p>
          <w:p>
            <w:pPr>
              <w:pStyle w:val="3"/>
              <w:adjustRightInd w:val="0"/>
              <w:snapToGrid w:val="0"/>
              <w:spacing w:line="240" w:lineRule="auto"/>
              <w:ind w:left="281" w:leftChars="44" w:hanging="189" w:hangingChars="90"/>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420"/>
              <w:jc w:val="center"/>
              <w:rPr>
                <w:rFonts w:ascii="宋体" w:hAnsi="宋体" w:cs="宋体"/>
                <w:bCs/>
                <w:szCs w:val="21"/>
                <w:highlight w:val="none"/>
              </w:rPr>
            </w:pPr>
            <w:r>
              <w:rPr>
                <w:rFonts w:hint="eastAsia" w:ascii="宋体" w:hAnsi="宋体" w:cs="宋体"/>
                <w:bCs/>
                <w:szCs w:val="21"/>
                <w:highlight w:val="none"/>
                <w:lang w:val="en-US" w:eastAsia="zh-CN"/>
              </w:rPr>
              <w:t>2021年9月20</w:t>
            </w:r>
            <w:r>
              <w:rPr>
                <w:rFonts w:hint="eastAsia" w:ascii="宋体" w:hAnsi="宋体" w:cs="宋体"/>
                <w:bCs/>
                <w:szCs w:val="21"/>
                <w:highlight w:val="none"/>
              </w:rPr>
              <w:t xml:space="preserve"> 日        </w:t>
            </w:r>
          </w:p>
          <w:p>
            <w:pPr>
              <w:adjustRightInd w:val="0"/>
              <w:snapToGrid w:val="0"/>
              <w:jc w:val="center"/>
              <w:rPr>
                <w:rFonts w:hint="eastAsia" w:ascii="宋体" w:hAnsi="宋体" w:cs="宋体"/>
                <w:bCs/>
                <w:szCs w:val="21"/>
                <w:highlight w:val="none"/>
              </w:rPr>
            </w:pPr>
            <w:r>
              <w:rPr>
                <w:rFonts w:hint="eastAsia" w:ascii="宋体" w:hAnsi="宋体" w:cs="宋体"/>
                <w:bCs/>
                <w:szCs w:val="21"/>
                <w:highlight w:val="none"/>
              </w:rPr>
              <w:t>上午09:</w:t>
            </w:r>
            <w:r>
              <w:rPr>
                <w:rFonts w:ascii="宋体" w:hAnsi="宋体" w:cs="宋体"/>
                <w:bCs/>
                <w:szCs w:val="21"/>
                <w:highlight w:val="none"/>
              </w:rPr>
              <w:t>3</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3" w:leftChars="68" w:firstLine="33" w:firstLineChars="16"/>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开标地点：地铁大厦1楼评定标中心指定会议室</w:t>
            </w:r>
          </w:p>
        </w:tc>
      </w:tr>
    </w:tbl>
    <w:p>
      <w:pPr>
        <w:pStyle w:val="24"/>
        <w:spacing w:line="360" w:lineRule="auto"/>
        <w:ind w:firstLine="482" w:firstLineChars="200"/>
        <w:rPr>
          <w:rFonts w:hint="eastAsia" w:hAnsi="宋体"/>
          <w:b/>
          <w:sz w:val="24"/>
          <w:szCs w:val="24"/>
          <w:highlight w:val="none"/>
        </w:rPr>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bookmarkStart w:id="29" w:name="_Toc57731950"/>
      <w:r>
        <w:rPr>
          <w:rFonts w:hint="eastAsia" w:ascii="宋体" w:hAnsi="宋体"/>
          <w:b/>
          <w:kern w:val="0"/>
          <w:sz w:val="24"/>
          <w:szCs w:val="24"/>
          <w:highlight w:val="none"/>
        </w:rPr>
        <w:t>六、参选所需材料</w:t>
      </w:r>
      <w:bookmarkEnd w:id="29"/>
    </w:p>
    <w:p>
      <w:pPr>
        <w:tabs>
          <w:tab w:val="center" w:pos="5059"/>
        </w:tabs>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根据比选</w:t>
      </w:r>
      <w:r>
        <w:rPr>
          <w:rFonts w:ascii="宋体" w:hAnsi="宋体"/>
          <w:kern w:val="0"/>
          <w:sz w:val="24"/>
          <w:szCs w:val="24"/>
          <w:highlight w:val="none"/>
        </w:rPr>
        <w:t>文件编制的参选文件</w:t>
      </w:r>
      <w:r>
        <w:rPr>
          <w:rFonts w:hint="eastAsia" w:ascii="宋体" w:hAnsi="宋体"/>
          <w:kern w:val="0"/>
          <w:sz w:val="24"/>
          <w:szCs w:val="24"/>
          <w:highlight w:val="none"/>
        </w:rPr>
        <w:t>；</w:t>
      </w:r>
      <w:r>
        <w:rPr>
          <w:rFonts w:ascii="宋体" w:hAnsi="宋体"/>
          <w:kern w:val="0"/>
          <w:sz w:val="24"/>
          <w:szCs w:val="24"/>
          <w:highlight w:val="none"/>
        </w:rPr>
        <w:tab/>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如递交</w:t>
      </w:r>
      <w:r>
        <w:rPr>
          <w:rFonts w:ascii="宋体" w:hAnsi="宋体"/>
          <w:kern w:val="0"/>
          <w:sz w:val="24"/>
          <w:szCs w:val="24"/>
          <w:highlight w:val="none"/>
        </w:rPr>
        <w:t>参选文件的参选</w:t>
      </w:r>
      <w:r>
        <w:rPr>
          <w:rFonts w:hint="eastAsia" w:ascii="宋体" w:hAnsi="宋体"/>
          <w:kern w:val="0"/>
          <w:sz w:val="24"/>
          <w:szCs w:val="24"/>
          <w:highlight w:val="none"/>
        </w:rPr>
        <w:t>人为参选单位的法定代表人，须携带法定代表人证明书及本人身份证原件和复印件；如递交</w:t>
      </w:r>
      <w:r>
        <w:rPr>
          <w:rFonts w:ascii="宋体" w:hAnsi="宋体"/>
          <w:kern w:val="0"/>
          <w:sz w:val="24"/>
          <w:szCs w:val="24"/>
          <w:highlight w:val="none"/>
        </w:rPr>
        <w:t>参选文件的参选</w:t>
      </w:r>
      <w:r>
        <w:rPr>
          <w:rFonts w:hint="eastAsia" w:ascii="宋体" w:hAnsi="宋体"/>
          <w:kern w:val="0"/>
          <w:sz w:val="24"/>
          <w:szCs w:val="24"/>
          <w:highlight w:val="none"/>
        </w:rPr>
        <w:t>人不是法定代表人，除携带本人身份证复印件外，还需携带法定代表人证明书和法定代表人身份证复印件及授权</w:t>
      </w:r>
      <w:r>
        <w:rPr>
          <w:rFonts w:ascii="宋体" w:hAnsi="宋体"/>
          <w:kern w:val="0"/>
          <w:sz w:val="24"/>
          <w:szCs w:val="24"/>
          <w:highlight w:val="none"/>
        </w:rPr>
        <w:t>委托书</w:t>
      </w:r>
      <w:r>
        <w:rPr>
          <w:rFonts w:hint="eastAsia" w:ascii="宋体" w:hAnsi="宋体"/>
          <w:kern w:val="0"/>
          <w:sz w:val="24"/>
          <w:szCs w:val="24"/>
          <w:highlight w:val="none"/>
        </w:rPr>
        <w:t>。</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rPr>
        <w:t>七、参选联系人</w:t>
      </w:r>
    </w:p>
    <w:p>
      <w:pPr>
        <w:pStyle w:val="24"/>
        <w:spacing w:line="360" w:lineRule="auto"/>
        <w:ind w:firstLine="480" w:firstLineChars="200"/>
        <w:rPr>
          <w:rFonts w:hint="eastAsia" w:hAnsi="宋体"/>
          <w:sz w:val="24"/>
          <w:highlight w:val="none"/>
        </w:rPr>
      </w:pPr>
      <w:r>
        <w:rPr>
          <w:rFonts w:hint="eastAsia" w:hAnsi="宋体"/>
          <w:sz w:val="24"/>
          <w:szCs w:val="24"/>
          <w:highlight w:val="none"/>
        </w:rPr>
        <w:t>联系人：</w:t>
      </w:r>
      <w:r>
        <w:rPr>
          <w:rFonts w:hint="eastAsia" w:hAnsi="宋体"/>
          <w:sz w:val="24"/>
          <w:szCs w:val="24"/>
          <w:highlight w:val="none"/>
          <w:lang w:val="en-US" w:eastAsia="zh-CN"/>
        </w:rPr>
        <w:t>黄</w:t>
      </w:r>
      <w:r>
        <w:rPr>
          <w:rFonts w:hint="eastAsia" w:hAnsi="宋体"/>
          <w:sz w:val="24"/>
          <w:highlight w:val="none"/>
        </w:rPr>
        <w:t>工</w:t>
      </w:r>
    </w:p>
    <w:p>
      <w:pPr>
        <w:pStyle w:val="24"/>
        <w:spacing w:line="360" w:lineRule="auto"/>
        <w:ind w:firstLine="480" w:firstLineChars="200"/>
        <w:rPr>
          <w:rFonts w:hint="default" w:hAnsi="宋体" w:eastAsia="宋体"/>
          <w:sz w:val="24"/>
          <w:szCs w:val="24"/>
          <w:highlight w:val="none"/>
          <w:lang w:val="en-US" w:eastAsia="zh-CN"/>
        </w:rPr>
      </w:pPr>
      <w:r>
        <w:rPr>
          <w:rFonts w:hint="eastAsia" w:hAnsi="宋体"/>
          <w:sz w:val="24"/>
          <w:szCs w:val="24"/>
          <w:highlight w:val="none"/>
        </w:rPr>
        <w:t>联系电话：</w:t>
      </w:r>
      <w:r>
        <w:rPr>
          <w:rFonts w:hint="eastAsia" w:hAnsi="宋体"/>
          <w:sz w:val="24"/>
          <w:szCs w:val="24"/>
          <w:highlight w:val="none"/>
          <w:lang w:val="en-US" w:eastAsia="zh-CN"/>
        </w:rPr>
        <w:t>89986643</w:t>
      </w:r>
    </w:p>
    <w:p>
      <w:pPr>
        <w:pStyle w:val="24"/>
        <w:spacing w:line="360" w:lineRule="auto"/>
        <w:ind w:firstLine="480" w:firstLineChars="200"/>
        <w:rPr>
          <w:rFonts w:hAnsi="宋体"/>
          <w:sz w:val="24"/>
          <w:szCs w:val="24"/>
          <w:highlight w:val="none"/>
        </w:rPr>
      </w:pPr>
    </w:p>
    <w:p>
      <w:pPr>
        <w:pStyle w:val="24"/>
        <w:spacing w:line="360" w:lineRule="auto"/>
        <w:ind w:firstLine="480" w:firstLineChars="200"/>
        <w:jc w:val="right"/>
        <w:rPr>
          <w:rFonts w:hAnsi="宋体"/>
          <w:sz w:val="24"/>
          <w:szCs w:val="24"/>
          <w:highlight w:val="none"/>
        </w:rPr>
      </w:pPr>
    </w:p>
    <w:p>
      <w:pPr>
        <w:pStyle w:val="24"/>
        <w:spacing w:line="360" w:lineRule="auto"/>
        <w:ind w:firstLine="480" w:firstLineChars="200"/>
        <w:jc w:val="right"/>
        <w:rPr>
          <w:rFonts w:hAnsi="宋体"/>
          <w:sz w:val="24"/>
          <w:szCs w:val="24"/>
          <w:highlight w:val="none"/>
        </w:rPr>
      </w:pPr>
      <w:r>
        <w:rPr>
          <w:rFonts w:hint="eastAsia" w:hAnsi="宋体"/>
          <w:sz w:val="24"/>
          <w:szCs w:val="24"/>
          <w:highlight w:val="none"/>
        </w:rPr>
        <w:t>深圳市地铁集团有限公司</w:t>
      </w:r>
    </w:p>
    <w:p>
      <w:pPr>
        <w:pStyle w:val="24"/>
        <w:wordWrap w:val="0"/>
        <w:spacing w:line="360" w:lineRule="auto"/>
        <w:ind w:firstLine="480" w:firstLineChars="200"/>
        <w:jc w:val="right"/>
        <w:rPr>
          <w:rFonts w:hint="eastAsia" w:hAnsi="宋体"/>
          <w:sz w:val="24"/>
          <w:szCs w:val="24"/>
          <w:highlight w:val="none"/>
        </w:rPr>
      </w:pPr>
      <w:r>
        <w:rPr>
          <w:rFonts w:hint="eastAsia" w:hAnsi="宋体" w:cs="宋体"/>
          <w:sz w:val="24"/>
          <w:szCs w:val="24"/>
          <w:highlight w:val="none"/>
        </w:rPr>
        <w:t>            </w:t>
      </w:r>
      <w:r>
        <w:rPr>
          <w:rFonts w:hint="eastAsia" w:hAnsi="宋体"/>
          <w:sz w:val="24"/>
          <w:szCs w:val="24"/>
          <w:highlight w:val="none"/>
        </w:rPr>
        <w:t>2021年</w:t>
      </w:r>
      <w:r>
        <w:rPr>
          <w:rFonts w:hint="eastAsia" w:hAnsi="宋体"/>
          <w:sz w:val="24"/>
          <w:szCs w:val="24"/>
          <w:highlight w:val="none"/>
          <w:lang w:val="en-US" w:eastAsia="zh-CN"/>
        </w:rPr>
        <w:t>9</w:t>
      </w:r>
      <w:r>
        <w:rPr>
          <w:rFonts w:hint="eastAsia" w:hAnsi="宋体"/>
          <w:sz w:val="24"/>
          <w:szCs w:val="24"/>
          <w:highlight w:val="none"/>
        </w:rPr>
        <w:t>月</w:t>
      </w:r>
      <w:r>
        <w:rPr>
          <w:rFonts w:hint="eastAsia" w:hAnsi="宋体"/>
          <w:sz w:val="24"/>
          <w:szCs w:val="24"/>
          <w:highlight w:val="none"/>
          <w:lang w:val="en-US" w:eastAsia="zh-CN"/>
        </w:rPr>
        <w:t>7</w:t>
      </w:r>
      <w:r>
        <w:rPr>
          <w:rFonts w:hint="eastAsia" w:hAnsi="宋体"/>
          <w:sz w:val="24"/>
          <w:szCs w:val="24"/>
          <w:highlight w:val="none"/>
        </w:rPr>
        <w:t>日</w:t>
      </w:r>
    </w:p>
    <w:p>
      <w:pPr>
        <w:pStyle w:val="24"/>
        <w:spacing w:line="360" w:lineRule="auto"/>
        <w:ind w:right="480"/>
        <w:jc w:val="center"/>
        <w:rPr>
          <w:rFonts w:hAnsi="宋体"/>
          <w:b/>
          <w:sz w:val="44"/>
          <w:szCs w:val="44"/>
          <w:highlight w:val="none"/>
        </w:rPr>
      </w:pPr>
      <w:r>
        <w:rPr>
          <w:rFonts w:hAnsi="宋体"/>
          <w:sz w:val="24"/>
          <w:szCs w:val="24"/>
          <w:highlight w:val="none"/>
        </w:rPr>
        <w:br w:type="page"/>
      </w:r>
      <w:bookmarkStart w:id="30" w:name="_Toc57731951"/>
      <w:r>
        <w:rPr>
          <w:rFonts w:hAnsi="宋体"/>
          <w:b/>
          <w:sz w:val="44"/>
          <w:szCs w:val="44"/>
          <w:highlight w:val="none"/>
        </w:rPr>
        <w:t>第</w:t>
      </w:r>
      <w:r>
        <w:rPr>
          <w:rFonts w:hint="eastAsia" w:hAnsi="宋体"/>
          <w:b/>
          <w:sz w:val="44"/>
          <w:szCs w:val="44"/>
          <w:highlight w:val="none"/>
        </w:rPr>
        <w:t xml:space="preserve">一篇  </w:t>
      </w:r>
      <w:r>
        <w:rPr>
          <w:rFonts w:hAnsi="宋体"/>
          <w:b/>
          <w:sz w:val="44"/>
          <w:szCs w:val="44"/>
          <w:highlight w:val="none"/>
        </w:rPr>
        <w:t>参选须知</w:t>
      </w:r>
      <w:bookmarkEnd w:id="30"/>
    </w:p>
    <w:p>
      <w:pPr>
        <w:pStyle w:val="5"/>
        <w:spacing w:line="360" w:lineRule="auto"/>
        <w:rPr>
          <w:rFonts w:ascii="宋体" w:hAnsi="宋体" w:eastAsia="宋体"/>
          <w:b/>
          <w:highlight w:val="none"/>
        </w:rPr>
      </w:pPr>
      <w:bookmarkStart w:id="31" w:name="_Toc197404897"/>
      <w:bookmarkStart w:id="32" w:name="_Toc57731952"/>
      <w:bookmarkStart w:id="33" w:name="_Toc518494117"/>
      <w:r>
        <w:rPr>
          <w:rFonts w:hint="eastAsia" w:ascii="宋体" w:hAnsi="宋体" w:eastAsia="宋体"/>
          <w:b/>
          <w:highlight w:val="none"/>
        </w:rPr>
        <w:t>第一章 总则</w:t>
      </w:r>
      <w:bookmarkEnd w:id="31"/>
      <w:bookmarkEnd w:id="32"/>
      <w:bookmarkEnd w:id="33"/>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highlight w:val="none"/>
        </w:rPr>
      </w:pPr>
      <w:bookmarkStart w:id="34" w:name="_Toc57731953"/>
      <w:bookmarkStart w:id="35" w:name="_Toc518494118"/>
      <w:r>
        <w:rPr>
          <w:rFonts w:hint="eastAsia" w:ascii="宋体" w:hAnsi="宋体"/>
          <w:b/>
          <w:kern w:val="0"/>
          <w:sz w:val="24"/>
          <w:szCs w:val="24"/>
          <w:highlight w:val="none"/>
        </w:rPr>
        <w:t>一、项目概况</w:t>
      </w:r>
      <w:bookmarkEnd w:id="34"/>
      <w:bookmarkEnd w:id="35"/>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bookmarkStart w:id="36" w:name="_Toc518494119"/>
      <w:bookmarkStart w:id="37" w:name="_Toc57731954"/>
      <w:r>
        <w:rPr>
          <w:rFonts w:hint="eastAsia" w:ascii="宋体" w:hAnsi="宋体" w:eastAsia="宋体" w:cs="Times New Roman"/>
          <w:kern w:val="0"/>
          <w:sz w:val="24"/>
          <w:szCs w:val="24"/>
          <w:highlight w:val="none"/>
        </w:rPr>
        <w:t>深铁瑞城项目位于长圳车辆段，用地位于光侨路以北，科裕路以西，东长大道以东。项目用地面积188520㎡，总建筑面积633143㎡，总房源4776套。项目是集住宅、商业、教育配套、体育公园于一体的“复合人文生态综合体”。</w:t>
      </w:r>
    </w:p>
    <w:p>
      <w:pPr>
        <w:keepNext/>
        <w:keepLines/>
        <w:numPr>
          <w:ilvl w:val="0"/>
          <w:numId w:val="1"/>
        </w:numPr>
        <w:tabs>
          <w:tab w:val="left" w:pos="1260"/>
        </w:tabs>
        <w:adjustRightInd w:val="0"/>
        <w:spacing w:before="260" w:line="360" w:lineRule="auto"/>
        <w:ind w:firstLine="482" w:firstLineChars="200"/>
        <w:textAlignment w:val="baseline"/>
        <w:outlineLvl w:val="2"/>
        <w:rPr>
          <w:rFonts w:hint="eastAsia" w:ascii="宋体" w:hAnsi="宋体"/>
          <w:b/>
          <w:kern w:val="0"/>
          <w:sz w:val="24"/>
          <w:szCs w:val="24"/>
          <w:highlight w:val="none"/>
        </w:rPr>
      </w:pPr>
      <w:r>
        <w:rPr>
          <w:rFonts w:hint="eastAsia" w:ascii="宋体" w:hAnsi="宋体"/>
          <w:b/>
          <w:kern w:val="0"/>
          <w:sz w:val="24"/>
          <w:szCs w:val="24"/>
          <w:highlight w:val="none"/>
        </w:rPr>
        <w:t>服务内容</w:t>
      </w:r>
      <w:bookmarkEnd w:id="36"/>
      <w:bookmarkEnd w:id="37"/>
      <w:bookmarkStart w:id="38" w:name="_Toc518494120"/>
      <w:bookmarkStart w:id="39" w:name="_Toc57731955"/>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 xml:space="preserve">深铁瑞城系列营销活动与现场包装服务包含但不限于展示中心开放活动策划及执行、系列暖场活动策划及执行、宣传推广、现场包装相关物料采购、设计制作与执行、相关活动的收尾撤场等内容，具体要求如下： </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（一）展示中心开放活动部分</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深铁瑞城暂定2021年9月底开放展示中心，选取项目展示中心现场作为活动场地，开放活动需富有仪式感及特色，主题鲜明，突出项目品质与TOD大城氛围，包括但不限于有：创意签到与开放仪式、现场暖场表演、媒体互动交流形式及伴手礼、活动氛围营造及包装，同时出于扩大项目影响力的考虑，本次方案中还需提供深铁瑞城宣传推广服务方案。</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1、活动规模及流程</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活动预计邀请行业主流媒体嘉宾，控制在100家以内，活动到场人数预计150人左右，需活动公司包装园林示范区、展示中心、样板房区域，同时做好外围导视，活动流程如下：</w:t>
      </w:r>
    </w:p>
    <w:tbl>
      <w:tblPr>
        <w:tblStyle w:val="47"/>
        <w:tblW w:w="9598"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56"/>
        <w:gridCol w:w="2090"/>
        <w:gridCol w:w="4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shd w:val="clear" w:color="auto" w:fill="BEBEBE"/>
            <w:noWrap w:val="0"/>
            <w:tcMar>
              <w:left w:w="108" w:type="dxa"/>
              <w:right w:w="108" w:type="dxa"/>
            </w:tcMar>
            <w:vAlign w:val="center"/>
          </w:tcPr>
          <w:p>
            <w:pPr>
              <w:pStyle w:val="43"/>
              <w:jc w:val="center"/>
              <w:rPr>
                <w:rFonts w:hint="eastAsia" w:ascii="华文仿宋" w:hAnsi="华文仿宋" w:eastAsia="华文仿宋" w:cs="华文仿宋"/>
                <w:color w:val="000000"/>
                <w:highlight w:val="none"/>
              </w:rPr>
            </w:pPr>
            <w:r>
              <w:rPr>
                <w:rFonts w:hint="eastAsia" w:ascii="华文仿宋" w:hAnsi="华文仿宋" w:eastAsia="华文仿宋" w:cs="华文仿宋"/>
                <w:b/>
                <w:bCs/>
                <w:color w:val="000000"/>
                <w:highlight w:val="none"/>
              </w:rPr>
              <w:t>时间</w:t>
            </w:r>
          </w:p>
        </w:tc>
        <w:tc>
          <w:tcPr>
            <w:tcW w:w="2090" w:type="dxa"/>
            <w:shd w:val="clear" w:color="auto" w:fill="BEBEBE"/>
            <w:noWrap w:val="0"/>
            <w:tcMar>
              <w:left w:w="108" w:type="dxa"/>
              <w:right w:w="108" w:type="dxa"/>
            </w:tcMar>
            <w:vAlign w:val="center"/>
          </w:tcPr>
          <w:p>
            <w:pPr>
              <w:pStyle w:val="43"/>
              <w:jc w:val="center"/>
              <w:rPr>
                <w:rFonts w:hint="eastAsia" w:ascii="华文仿宋" w:hAnsi="华文仿宋" w:eastAsia="华文仿宋" w:cs="华文仿宋"/>
                <w:color w:val="000000"/>
                <w:highlight w:val="none"/>
              </w:rPr>
            </w:pPr>
            <w:r>
              <w:rPr>
                <w:rFonts w:hint="eastAsia" w:ascii="华文仿宋" w:hAnsi="华文仿宋" w:eastAsia="华文仿宋" w:cs="华文仿宋"/>
                <w:b/>
                <w:bCs/>
                <w:color w:val="000000"/>
                <w:highlight w:val="none"/>
              </w:rPr>
              <w:t>流程项</w:t>
            </w:r>
          </w:p>
        </w:tc>
        <w:tc>
          <w:tcPr>
            <w:tcW w:w="4952" w:type="dxa"/>
            <w:shd w:val="clear" w:color="auto" w:fill="BEBEBE"/>
            <w:noWrap w:val="0"/>
            <w:tcMar>
              <w:left w:w="108" w:type="dxa"/>
              <w:right w:w="108" w:type="dxa"/>
            </w:tcMar>
            <w:vAlign w:val="center"/>
          </w:tcPr>
          <w:p>
            <w:pPr>
              <w:pStyle w:val="43"/>
              <w:jc w:val="center"/>
              <w:rPr>
                <w:rFonts w:hint="eastAsia" w:ascii="华文仿宋" w:hAnsi="华文仿宋" w:eastAsia="华文仿宋" w:cs="华文仿宋"/>
                <w:color w:val="000000"/>
                <w:highlight w:val="none"/>
              </w:rPr>
            </w:pPr>
            <w:r>
              <w:rPr>
                <w:rFonts w:hint="eastAsia" w:ascii="华文仿宋" w:hAnsi="华文仿宋" w:eastAsia="华文仿宋" w:cs="华文仿宋"/>
                <w:b/>
                <w:bCs/>
                <w:color w:val="000000"/>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9：30-10：00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媒体、嘉宾签到、</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嘉宾签到，交流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10：00-10：05</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开场表演</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主持人开场、开场表演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10：05-10：10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领导发言</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主持人开场、领导致辞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10：10-10：30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项目推荐</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项目代表上台讲解项目价值及影视片播放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10：30-10：40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媒体推荐</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媒体代表发言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10：40-10：45</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开放仪式</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举行开放仪式，合影留念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10:45-11:30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自由参观</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highlight w:val="none"/>
              </w:rPr>
            </w:pPr>
            <w:r>
              <w:rPr>
                <w:rFonts w:hint="eastAsia" w:ascii="华文仿宋" w:hAnsi="华文仿宋" w:eastAsia="华文仿宋" w:cs="华文仿宋"/>
                <w:color w:val="000000"/>
                <w:sz w:val="24"/>
                <w:szCs w:val="24"/>
                <w:highlight w:val="none"/>
              </w:rPr>
              <w:t>销售代表陪同讲解</w:t>
            </w:r>
          </w:p>
        </w:tc>
      </w:tr>
    </w:tbl>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2、活动方案清单</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活动涉及到的人员及物料需包括但不限于以下内容：</w:t>
      </w:r>
    </w:p>
    <w:tbl>
      <w:tblPr>
        <w:tblStyle w:val="47"/>
        <w:tblW w:w="9119" w:type="dxa"/>
        <w:tblInd w:w="93" w:type="dxa"/>
        <w:tblLayout w:type="fixed"/>
        <w:tblCellMar>
          <w:top w:w="0" w:type="dxa"/>
          <w:left w:w="108" w:type="dxa"/>
          <w:bottom w:w="0" w:type="dxa"/>
          <w:right w:w="108" w:type="dxa"/>
        </w:tblCellMar>
      </w:tblPr>
      <w:tblGrid>
        <w:gridCol w:w="1793"/>
        <w:gridCol w:w="1080"/>
        <w:gridCol w:w="6246"/>
      </w:tblGrid>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ascii="微软雅黑 Light" w:hAnsi="微软雅黑 Light" w:eastAsia="微软雅黑 Light" w:cs="微软雅黑 Light"/>
                <w:b/>
                <w:bCs/>
                <w:color w:val="000000"/>
                <w:sz w:val="18"/>
                <w:szCs w:val="18"/>
                <w:highlight w:val="none"/>
              </w:rPr>
            </w:pPr>
            <w:r>
              <w:rPr>
                <w:rFonts w:hint="eastAsia" w:ascii="微软雅黑 Light" w:hAnsi="微软雅黑 Light" w:eastAsia="微软雅黑 Light" w:cs="微软雅黑 Light"/>
                <w:b/>
                <w:bCs/>
                <w:color w:val="000000"/>
                <w:kern w:val="0"/>
                <w:sz w:val="18"/>
                <w:szCs w:val="18"/>
                <w:highlight w:val="none"/>
                <w:lang w:bidi="ar"/>
              </w:rPr>
              <w:t>项目</w:t>
            </w:r>
          </w:p>
        </w:tc>
        <w:tc>
          <w:tcPr>
            <w:tcW w:w="1080"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Light" w:hAnsi="微软雅黑 Light" w:eastAsia="微软雅黑 Light" w:cs="微软雅黑 Light"/>
                <w:b/>
                <w:bCs/>
                <w:color w:val="000000"/>
                <w:sz w:val="18"/>
                <w:szCs w:val="18"/>
                <w:highlight w:val="none"/>
              </w:rPr>
            </w:pPr>
            <w:r>
              <w:rPr>
                <w:rFonts w:hint="eastAsia" w:ascii="微软雅黑 Light" w:hAnsi="微软雅黑 Light" w:eastAsia="微软雅黑 Light" w:cs="微软雅黑 Light"/>
                <w:b/>
                <w:bCs/>
                <w:color w:val="000000"/>
                <w:kern w:val="0"/>
                <w:sz w:val="18"/>
                <w:szCs w:val="18"/>
                <w:highlight w:val="none"/>
                <w:lang w:bidi="ar"/>
              </w:rPr>
              <w:t>数量</w:t>
            </w:r>
          </w:p>
        </w:tc>
        <w:tc>
          <w:tcPr>
            <w:tcW w:w="6246"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Light" w:hAnsi="微软雅黑 Light" w:eastAsia="微软雅黑 Light" w:cs="微软雅黑 Light"/>
                <w:b/>
                <w:bCs/>
                <w:color w:val="000000"/>
                <w:sz w:val="18"/>
                <w:szCs w:val="18"/>
                <w:highlight w:val="none"/>
              </w:rPr>
            </w:pPr>
            <w:r>
              <w:rPr>
                <w:rFonts w:hint="eastAsia" w:ascii="微软雅黑 Light" w:hAnsi="微软雅黑 Light" w:eastAsia="微软雅黑 Light" w:cs="微软雅黑 Light"/>
                <w:b/>
                <w:bCs/>
                <w:color w:val="000000"/>
                <w:kern w:val="0"/>
                <w:sz w:val="18"/>
                <w:szCs w:val="18"/>
                <w:highlight w:val="none"/>
                <w:lang w:bidi="ar"/>
              </w:rPr>
              <w:t>说明</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导视牌</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4</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包含签到桌椅、台花、台卡、胸花</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迎宾花柱</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8</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金属框架结构，汽车工艺烤漆，新鲜花艺花材布置，项目LOGO立体字</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签到部分</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需结合项目调性及活动氛围，定制创意签到组景及签到形式，含签到用具等</w:t>
            </w:r>
          </w:p>
          <w:p>
            <w:pPr>
              <w:widowControl/>
              <w:spacing w:line="440" w:lineRule="exact"/>
              <w:jc w:val="center"/>
              <w:textAlignment w:val="center"/>
              <w:rPr>
                <w:rFonts w:ascii="宋体" w:hAnsi="宋体" w:cs="宋体"/>
                <w:color w:val="000000"/>
                <w:sz w:val="18"/>
                <w:szCs w:val="18"/>
                <w:highlight w:val="none"/>
              </w:rPr>
            </w:pPr>
            <w:r>
              <w:rPr>
                <w:rFonts w:hint="eastAsia" w:ascii="宋体" w:hAnsi="宋体" w:cs="宋体"/>
                <w:color w:val="000000"/>
                <w:kern w:val="0"/>
                <w:sz w:val="18"/>
                <w:szCs w:val="18"/>
                <w:highlight w:val="none"/>
                <w:lang w:bidi="ar"/>
              </w:rPr>
              <w:t>（需有同等价位主推与两款备选方案）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合影组景</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主题氛围合影造型，定制项目LOGO字，情景装饰</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主持人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知名主持人，需含服装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模特礼仪</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身高1.78M，专业模特礼仪人员，含服装，含化妆，含服装（需样板房摆拍）</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开放仪式</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形式自拟 要求体现项目品质与氛围（需有同等价位主推与两款备选方案）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户外音响设备</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户外中型活动，专业音响设备，含音响师</w:t>
            </w:r>
          </w:p>
        </w:tc>
      </w:tr>
      <w:tr>
        <w:tblPrEx>
          <w:tblCellMar>
            <w:top w:w="0" w:type="dxa"/>
            <w:left w:w="108" w:type="dxa"/>
            <w:bottom w:w="0" w:type="dxa"/>
            <w:right w:w="108" w:type="dxa"/>
          </w:tblCellMar>
        </w:tblPrEx>
        <w:trPr>
          <w:trHeight w:val="859"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启动仪式</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12MM夹板木结构，汽车工艺烤漆，项目LOGO立体字，活动主题立体字，干冰道具等</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金片机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氛围庆典专用金片机设备</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舞台媒体区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需要包括LED屏幕（尺寸7.5*3m）、舞台（尺寸7.5*4m），媒体嘉宾座椅150张、演讲台、舞台音响设备及氛围包装（其中氛围包装形式自拟）</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摄影师</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专业摄影师，含器械</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摄像师</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专业摄像师，含器械（含15S小视频制作）</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开场演绎</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专业演绎人员，含服装，含演绎道具（形式自拟，符合项目调性）</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暖场演绎</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3</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专业演绎人员，含服装，含演绎道具（形式自拟，符合项目调性）</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暖场茶歇</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300</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精致糕点，饮品等，含桌面布置</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茶歇糕点师傅</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2</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具备花式切水果、摆盘等专业师傅，含服装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服务员</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4</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专业酒店级服务员，含服装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媒体费用</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highlight w:val="none"/>
              </w:rPr>
            </w:pPr>
            <w:r>
              <w:rPr>
                <w:rFonts w:hint="eastAsia" w:ascii="微软雅黑" w:hAnsi="微软雅黑" w:eastAsia="微软雅黑" w:cs="微软雅黑"/>
                <w:color w:val="000000"/>
                <w:kern w:val="0"/>
                <w:sz w:val="18"/>
                <w:szCs w:val="18"/>
                <w:highlight w:val="none"/>
                <w:lang w:bidi="ar"/>
              </w:rPr>
              <w:t>预计100家媒体费用</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伴手礼</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150</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ind w:firstLine="1800" w:firstLineChars="1000"/>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单价在200元/份的精致礼品，最终以双方协商为准</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宣传推广</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6</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highlight w:val="none"/>
                <w:lang w:bidi="ar"/>
              </w:rPr>
            </w:pPr>
            <w:r>
              <w:rPr>
                <w:rFonts w:hint="eastAsia" w:ascii="微软雅黑" w:hAnsi="微软雅黑" w:eastAsia="微软雅黑" w:cs="微软雅黑"/>
                <w:color w:val="000000"/>
                <w:kern w:val="0"/>
                <w:sz w:val="18"/>
                <w:szCs w:val="18"/>
                <w:highlight w:val="none"/>
                <w:lang w:bidi="ar"/>
              </w:rPr>
              <w:t>需包括但不限于以下自媒体大V：壹地产、房产大象、楼兔子、地产凝眸、买房之前、中国房地产报大湾区、深圳概率、深晚一兵。参选</w:t>
            </w:r>
            <w:r>
              <w:rPr>
                <w:rFonts w:ascii="微软雅黑" w:hAnsi="微软雅黑" w:eastAsia="微软雅黑" w:cs="微软雅黑"/>
                <w:color w:val="000000"/>
                <w:kern w:val="0"/>
                <w:sz w:val="18"/>
                <w:szCs w:val="18"/>
                <w:highlight w:val="none"/>
                <w:lang w:bidi="ar"/>
              </w:rPr>
              <w:t>单位</w:t>
            </w:r>
            <w:r>
              <w:rPr>
                <w:rFonts w:hint="eastAsia" w:ascii="微软雅黑" w:hAnsi="微软雅黑" w:eastAsia="微软雅黑" w:cs="微软雅黑"/>
                <w:color w:val="000000"/>
                <w:kern w:val="0"/>
                <w:sz w:val="18"/>
                <w:szCs w:val="18"/>
                <w:highlight w:val="none"/>
                <w:lang w:bidi="ar"/>
              </w:rPr>
              <w:t>需标注前述8家大V的原创</w:t>
            </w:r>
            <w:r>
              <w:rPr>
                <w:rFonts w:ascii="微软雅黑" w:hAnsi="微软雅黑" w:eastAsia="微软雅黑" w:cs="微软雅黑"/>
                <w:color w:val="000000"/>
                <w:kern w:val="0"/>
                <w:sz w:val="18"/>
                <w:szCs w:val="18"/>
                <w:highlight w:val="none"/>
                <w:lang w:bidi="ar"/>
              </w:rPr>
              <w:t>软文</w:t>
            </w:r>
            <w:r>
              <w:rPr>
                <w:rFonts w:hint="eastAsia" w:ascii="微软雅黑" w:hAnsi="微软雅黑" w:eastAsia="微软雅黑" w:cs="微软雅黑"/>
                <w:color w:val="000000"/>
                <w:kern w:val="0"/>
                <w:sz w:val="18"/>
                <w:szCs w:val="18"/>
                <w:highlight w:val="none"/>
                <w:lang w:bidi="ar"/>
              </w:rPr>
              <w:t>发布或短视频的单价，并推荐其中6家供甲方使用。甲方可根据</w:t>
            </w:r>
            <w:r>
              <w:rPr>
                <w:rFonts w:ascii="微软雅黑" w:hAnsi="微软雅黑" w:eastAsia="微软雅黑" w:cs="微软雅黑"/>
                <w:color w:val="000000"/>
                <w:kern w:val="0"/>
                <w:sz w:val="18"/>
                <w:szCs w:val="18"/>
                <w:highlight w:val="none"/>
                <w:lang w:bidi="ar"/>
              </w:rPr>
              <w:t>实际</w:t>
            </w:r>
            <w:r>
              <w:rPr>
                <w:rFonts w:hint="eastAsia" w:ascii="微软雅黑" w:hAnsi="微软雅黑" w:eastAsia="微软雅黑" w:cs="微软雅黑"/>
                <w:color w:val="000000"/>
                <w:kern w:val="0"/>
                <w:sz w:val="18"/>
                <w:szCs w:val="18"/>
                <w:highlight w:val="none"/>
                <w:lang w:bidi="ar"/>
              </w:rPr>
              <w:t>需求在</w:t>
            </w:r>
            <w:r>
              <w:rPr>
                <w:rFonts w:ascii="微软雅黑" w:hAnsi="微软雅黑" w:eastAsia="微软雅黑" w:cs="微软雅黑"/>
                <w:color w:val="000000"/>
                <w:kern w:val="0"/>
                <w:sz w:val="18"/>
                <w:szCs w:val="18"/>
                <w:highlight w:val="none"/>
                <w:lang w:bidi="ar"/>
              </w:rPr>
              <w:t>这</w:t>
            </w:r>
            <w:r>
              <w:rPr>
                <w:rFonts w:hint="eastAsia" w:ascii="微软雅黑" w:hAnsi="微软雅黑" w:eastAsia="微软雅黑" w:cs="微软雅黑"/>
                <w:color w:val="000000"/>
                <w:kern w:val="0"/>
                <w:sz w:val="18"/>
                <w:szCs w:val="18"/>
                <w:highlight w:val="none"/>
                <w:lang w:bidi="ar"/>
              </w:rPr>
              <w:t>8家大V范围内更换媒体，最终发布</w:t>
            </w:r>
            <w:r>
              <w:rPr>
                <w:rFonts w:ascii="微软雅黑" w:hAnsi="微软雅黑" w:eastAsia="微软雅黑" w:cs="微软雅黑"/>
                <w:color w:val="000000"/>
                <w:kern w:val="0"/>
                <w:sz w:val="18"/>
                <w:szCs w:val="18"/>
                <w:highlight w:val="none"/>
                <w:lang w:bidi="ar"/>
              </w:rPr>
              <w:t>总</w:t>
            </w:r>
            <w:r>
              <w:rPr>
                <w:rFonts w:hint="eastAsia" w:ascii="微软雅黑" w:hAnsi="微软雅黑" w:eastAsia="微软雅黑" w:cs="微软雅黑"/>
                <w:color w:val="000000"/>
                <w:kern w:val="0"/>
                <w:sz w:val="18"/>
                <w:szCs w:val="18"/>
                <w:highlight w:val="none"/>
                <w:lang w:bidi="ar"/>
              </w:rPr>
              <w:t>篇</w:t>
            </w:r>
            <w:r>
              <w:rPr>
                <w:rFonts w:ascii="微软雅黑" w:hAnsi="微软雅黑" w:eastAsia="微软雅黑" w:cs="微软雅黑"/>
                <w:color w:val="000000"/>
                <w:kern w:val="0"/>
                <w:sz w:val="18"/>
                <w:szCs w:val="18"/>
                <w:highlight w:val="none"/>
                <w:lang w:bidi="ar"/>
              </w:rPr>
              <w:t>数不超过</w:t>
            </w:r>
            <w:r>
              <w:rPr>
                <w:rFonts w:hint="eastAsia" w:ascii="微软雅黑" w:hAnsi="微软雅黑" w:eastAsia="微软雅黑" w:cs="微软雅黑"/>
                <w:color w:val="000000"/>
                <w:kern w:val="0"/>
                <w:sz w:val="18"/>
                <w:szCs w:val="18"/>
                <w:highlight w:val="none"/>
                <w:lang w:bidi="ar"/>
              </w:rPr>
              <w:t>6篇</w:t>
            </w:r>
            <w:r>
              <w:rPr>
                <w:rFonts w:ascii="微软雅黑" w:hAnsi="微软雅黑" w:eastAsia="微软雅黑" w:cs="微软雅黑"/>
                <w:color w:val="000000"/>
                <w:kern w:val="0"/>
                <w:sz w:val="18"/>
                <w:szCs w:val="18"/>
                <w:highlight w:val="none"/>
                <w:lang w:bidi="ar"/>
              </w:rPr>
              <w:t>，</w:t>
            </w:r>
            <w:r>
              <w:rPr>
                <w:rFonts w:hint="eastAsia" w:ascii="微软雅黑" w:hAnsi="微软雅黑" w:eastAsia="微软雅黑" w:cs="微软雅黑"/>
                <w:color w:val="000000"/>
                <w:kern w:val="0"/>
                <w:sz w:val="18"/>
                <w:szCs w:val="18"/>
                <w:highlight w:val="none"/>
                <w:lang w:bidi="ar"/>
              </w:rPr>
              <w:t>据实结算，</w:t>
            </w:r>
            <w:r>
              <w:rPr>
                <w:rFonts w:ascii="微软雅黑" w:hAnsi="微软雅黑" w:eastAsia="微软雅黑" w:cs="微软雅黑"/>
                <w:color w:val="000000"/>
                <w:kern w:val="0"/>
                <w:sz w:val="18"/>
                <w:szCs w:val="18"/>
                <w:highlight w:val="none"/>
                <w:lang w:bidi="ar"/>
              </w:rPr>
              <w:t>结算价不超过推荐总价</w:t>
            </w:r>
            <w:r>
              <w:rPr>
                <w:rFonts w:hint="eastAsia" w:ascii="微软雅黑" w:hAnsi="微软雅黑" w:eastAsia="微软雅黑" w:cs="微软雅黑"/>
                <w:color w:val="000000"/>
                <w:kern w:val="0"/>
                <w:sz w:val="18"/>
                <w:szCs w:val="18"/>
                <w:highlight w:val="none"/>
                <w:lang w:bidi="ar"/>
              </w:rPr>
              <w:t>。</w:t>
            </w:r>
          </w:p>
        </w:tc>
      </w:tr>
      <w:tr>
        <w:tblPrEx>
          <w:tblCellMar>
            <w:top w:w="0" w:type="dxa"/>
            <w:left w:w="108" w:type="dxa"/>
            <w:bottom w:w="0" w:type="dxa"/>
            <w:right w:w="108" w:type="dxa"/>
          </w:tblCellMar>
        </w:tblPrEx>
        <w:trPr>
          <w:trHeight w:val="90" w:hRule="atLeast"/>
        </w:trPr>
        <w:tc>
          <w:tcPr>
            <w:tcW w:w="9119"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hint="eastAsia" w:ascii="宋体" w:hAnsi="宋体" w:cs="宋体"/>
                <w:color w:val="000000"/>
                <w:sz w:val="18"/>
                <w:szCs w:val="18"/>
                <w:highlight w:val="none"/>
              </w:rPr>
            </w:pPr>
            <w:r>
              <w:rPr>
                <w:rFonts w:hint="eastAsia" w:ascii="楷体" w:hAnsi="楷体" w:eastAsia="楷体" w:cs="宋体"/>
                <w:b/>
                <w:bCs/>
                <w:color w:val="000000"/>
                <w:kern w:val="0"/>
                <w:sz w:val="18"/>
                <w:szCs w:val="24"/>
                <w:highlight w:val="none"/>
              </w:rPr>
              <w:t>注意：以上内容仅为必须要包含的服务项目，不代表全部服务项目，具体物料清单需根据各自方案进行细化。</w:t>
            </w:r>
          </w:p>
        </w:tc>
      </w:tr>
    </w:tbl>
    <w:p>
      <w:pPr>
        <w:spacing w:line="440" w:lineRule="exact"/>
        <w:rPr>
          <w:rFonts w:hint="eastAsia" w:ascii="仿宋_GB2312" w:hAnsi="宋体" w:eastAsia="仿宋_GB2312"/>
          <w:color w:val="000000"/>
          <w:sz w:val="32"/>
          <w:szCs w:val="32"/>
          <w:highlight w:val="none"/>
        </w:rPr>
      </w:pP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（二）系列暖场活动</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考虑展示中心开放后人流增大，拟于项目现场举行暖场活动，一方面吸引更多客户上门，一方面增加客户停留时间。拟于各节假日，选取深铁瑞城展示中心作为活动场地，活动内容需符合TOD大城主题，有趣味性，能吸引客户停留。计划共举办4场暖场活动，需给出每场活动的主题及创意建议。</w:t>
      </w:r>
    </w:p>
    <w:p>
      <w:pPr>
        <w:keepNext/>
        <w:keepLines/>
        <w:tabs>
          <w:tab w:val="left" w:pos="1260"/>
        </w:tabs>
        <w:adjustRightInd w:val="0"/>
        <w:spacing w:before="260" w:after="260" w:line="360" w:lineRule="auto"/>
        <w:ind w:firstLine="480" w:firstLineChars="200"/>
        <w:textAlignment w:val="baseline"/>
        <w:outlineLvl w:val="2"/>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（三）现场包装设计制作部分</w:t>
      </w:r>
    </w:p>
    <w:tbl>
      <w:tblPr>
        <w:tblStyle w:val="47"/>
        <w:tblW w:w="0" w:type="auto"/>
        <w:tblInd w:w="-165" w:type="dxa"/>
        <w:tblLayout w:type="autofit"/>
        <w:tblCellMar>
          <w:top w:w="0" w:type="dxa"/>
          <w:left w:w="0" w:type="dxa"/>
          <w:bottom w:w="0" w:type="dxa"/>
          <w:right w:w="0" w:type="dxa"/>
        </w:tblCellMar>
      </w:tblPr>
      <w:tblGrid>
        <w:gridCol w:w="530"/>
        <w:gridCol w:w="1360"/>
        <w:gridCol w:w="5023"/>
        <w:gridCol w:w="2103"/>
        <w:gridCol w:w="407"/>
        <w:gridCol w:w="410"/>
      </w:tblGrid>
      <w:tr>
        <w:tblPrEx>
          <w:tblCellMar>
            <w:top w:w="0" w:type="dxa"/>
            <w:left w:w="0" w:type="dxa"/>
            <w:bottom w:w="0" w:type="dxa"/>
            <w:right w:w="0" w:type="dxa"/>
          </w:tblCellMar>
        </w:tblPrEx>
        <w:trPr>
          <w:trHeight w:val="573" w:hRule="atLeast"/>
        </w:trPr>
        <w:tc>
          <w:tcPr>
            <w:tcW w:w="0" w:type="auto"/>
            <w:gridSpan w:val="6"/>
            <w:tcBorders>
              <w:top w:val="single" w:color="000000" w:sz="8"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32"/>
                <w:szCs w:val="32"/>
                <w:highlight w:val="none"/>
              </w:rPr>
            </w:pPr>
            <w:r>
              <w:rPr>
                <w:rFonts w:hint="eastAsia" w:ascii="微软雅黑" w:hAnsi="微软雅黑" w:eastAsia="微软雅黑" w:cs="微软雅黑"/>
                <w:b/>
                <w:color w:val="000000"/>
                <w:kern w:val="0"/>
                <w:sz w:val="32"/>
                <w:szCs w:val="32"/>
                <w:highlight w:val="none"/>
                <w:lang w:bidi="ar"/>
              </w:rPr>
              <w:t>深铁瑞城展示中心整体营销物料包装清单</w:t>
            </w:r>
          </w:p>
        </w:tc>
      </w:tr>
      <w:tr>
        <w:tblPrEx>
          <w:tblCellMar>
            <w:top w:w="0" w:type="dxa"/>
            <w:left w:w="0" w:type="dxa"/>
            <w:bottom w:w="0" w:type="dxa"/>
            <w:right w:w="0" w:type="dxa"/>
          </w:tblCellMar>
        </w:tblPrEx>
        <w:trPr>
          <w:trHeight w:val="372"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序号</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项目</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备注</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规格</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单位</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数量</w:t>
            </w:r>
          </w:p>
        </w:tc>
      </w:tr>
      <w:tr>
        <w:tblPrEx>
          <w:tblCellMar>
            <w:top w:w="0" w:type="dxa"/>
            <w:left w:w="0" w:type="dxa"/>
            <w:bottom w:w="0" w:type="dxa"/>
            <w:right w:w="0" w:type="dxa"/>
          </w:tblCellMar>
        </w:tblPrEx>
        <w:trPr>
          <w:trHeight w:val="443" w:hRule="atLeast"/>
        </w:trPr>
        <w:tc>
          <w:tcPr>
            <w:tcW w:w="0" w:type="auto"/>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一、外围区域</w:t>
            </w:r>
          </w:p>
        </w:tc>
      </w:tr>
      <w:tr>
        <w:tblPrEx>
          <w:tblCellMar>
            <w:top w:w="0" w:type="dxa"/>
            <w:left w:w="0" w:type="dxa"/>
            <w:bottom w:w="0" w:type="dxa"/>
            <w:right w:w="0" w:type="dxa"/>
          </w:tblCellMar>
        </w:tblPrEx>
        <w:trPr>
          <w:trHeight w:val="1229"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主入口精神堡垒</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304#1.5MM厚度不锈钢金属结构，内置50*50MM方通金属框架，大理石结构，烤漆，双面，发光LOGO字，含地基混凝土加固</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1200*6000MM（H）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主入口道闸</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智能广告道闸，含双面广告画面，200万高清摄像头，控制机箱，显示屏，补光灯，无线遥控器，地感线圈，车辆检测器</w:t>
            </w:r>
            <w:r>
              <w:rPr>
                <w:rStyle w:val="197"/>
                <w:rFonts w:hint="default"/>
                <w:highlight w:val="none"/>
                <w:lang w:bidi="ar"/>
              </w:rPr>
              <w:br w:type="textWrapping"/>
            </w:r>
            <w:r>
              <w:rPr>
                <w:rStyle w:val="82"/>
                <w:rFonts w:hint="default"/>
                <w:color w:val="000000"/>
                <w:highlight w:val="none"/>
                <w:lang w:bidi="ar"/>
              </w:rPr>
              <w:t>（甲方有权要求更换画面3次，质保1年）</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3800MM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套</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230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岗亭</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80*80MM方通结构立柱，底座1.5MM不锈钢板，15MM钢板底座，12MM钢化玻璃，地毯，灯饰，1匹空调，整体电缆电路布置，内置配重，整体烤漆</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1800*1800*2600MM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项</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通道左右两侧道旗</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80*80MM方通结构立柱，底座1.5MM不锈钢板，10MM钢板底座，内置配重，整体烤漆，高精度喷绘双面画面</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800*4500MM（H）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w:t>
            </w:r>
          </w:p>
        </w:tc>
      </w:tr>
      <w:tr>
        <w:tblPrEx>
          <w:tblCellMar>
            <w:top w:w="0" w:type="dxa"/>
            <w:left w:w="0" w:type="dxa"/>
            <w:bottom w:w="0" w:type="dxa"/>
            <w:right w:w="0" w:type="dxa"/>
          </w:tblCellMar>
        </w:tblPrEx>
        <w:trPr>
          <w:trHeight w:val="7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通道左右两侧魔方</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25*25MM方通金属框架，裱9MM夹板，高精度喷绘画面</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1200*1200*1200MM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22</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横梁灯箱</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30*30MM方通金属框架，灯箱软膜，内置LED灯饰，含电缆电路布置</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8000*1200MM（H）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展示中心导视牌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304#1.5MM厚度不锈钢金属结构，整体烤漆，双面，发光LOGO及主标文字</w:t>
            </w:r>
            <w:r>
              <w:rPr>
                <w:rStyle w:val="197"/>
                <w:rFonts w:hint="default"/>
                <w:highlight w:val="none"/>
                <w:lang w:bidi="ar"/>
              </w:rPr>
              <w:br w:type="textWrapping"/>
            </w:r>
            <w:r>
              <w:rPr>
                <w:rStyle w:val="82"/>
                <w:rFonts w:hint="default"/>
                <w:color w:val="000000"/>
                <w:highlight w:val="none"/>
                <w:lang w:bidi="ar"/>
              </w:rPr>
              <w:t>（甲方有权要求修改尺寸，工艺材质及造型样式，场地复原）</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800*3000MM（H）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展示中心昭示性背景板</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铝合金桁架结构，双面框架，双面刀刮布打UV画面，四周装饰相框边条</w:t>
            </w:r>
            <w:r>
              <w:rPr>
                <w:rStyle w:val="197"/>
                <w:rFonts w:hint="default"/>
                <w:highlight w:val="none"/>
                <w:lang w:bidi="ar"/>
              </w:rPr>
              <w:br w:type="textWrapping"/>
            </w:r>
            <w:r>
              <w:rPr>
                <w:rStyle w:val="82"/>
                <w:rFonts w:hint="default"/>
                <w:color w:val="000000"/>
                <w:highlight w:val="none"/>
                <w:lang w:bidi="ar"/>
              </w:rPr>
              <w:t>（甲方有权要求修改尺寸，工艺材质及造型样式，更换画面2次）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5000*3000MM（H）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项</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5</w:t>
            </w:r>
          </w:p>
        </w:tc>
      </w:tr>
      <w:tr>
        <w:tblPrEx>
          <w:tblCellMar>
            <w:top w:w="0" w:type="dxa"/>
            <w:left w:w="0" w:type="dxa"/>
            <w:bottom w:w="0" w:type="dxa"/>
            <w:right w:w="0" w:type="dxa"/>
          </w:tblCellMar>
        </w:tblPrEx>
        <w:trPr>
          <w:trHeight w:val="1450"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导视牌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金属蓝牌，含地基结构，整体烤漆</w:t>
            </w:r>
            <w:r>
              <w:rPr>
                <w:rStyle w:val="197"/>
                <w:rFonts w:hint="default"/>
                <w:highlight w:val="none"/>
                <w:lang w:bidi="ar"/>
              </w:rPr>
              <w:br w:type="textWrapping"/>
            </w:r>
            <w:r>
              <w:rPr>
                <w:rStyle w:val="82"/>
                <w:rFonts w:hint="default"/>
                <w:color w:val="000000"/>
                <w:highlight w:val="none"/>
                <w:lang w:bidi="ar"/>
              </w:rPr>
              <w:t>（甲方有权要求修改尺寸，工艺材质及造型样式，含半年使用报批</w:t>
            </w:r>
            <w:r>
              <w:rPr>
                <w:rStyle w:val="82"/>
                <w:color w:val="000000"/>
                <w:highlight w:val="none"/>
                <w:lang w:bidi="ar"/>
              </w:rPr>
              <w:t>费</w:t>
            </w:r>
            <w:r>
              <w:rPr>
                <w:rStyle w:val="82"/>
                <w:rFonts w:hint="default"/>
                <w:color w:val="000000"/>
                <w:highlight w:val="none"/>
                <w:lang w:bidi="ar"/>
              </w:rPr>
              <w:t>与维护费用）</w:t>
            </w:r>
            <w:r>
              <w:rPr>
                <w:rStyle w:val="82"/>
                <w:rFonts w:hint="default"/>
                <w:color w:val="000000"/>
                <w:highlight w:val="none"/>
                <w:lang w:bidi="ar"/>
              </w:rPr>
              <w:br w:type="textWrapping"/>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600*2000MM（H）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6</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展示中心周边树木包装</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树木金箔布褶皱包装</w:t>
            </w:r>
            <w:r>
              <w:rPr>
                <w:rStyle w:val="197"/>
                <w:rFonts w:hint="default"/>
                <w:highlight w:val="none"/>
                <w:lang w:bidi="ar"/>
              </w:rPr>
              <w:br w:type="textWrapping"/>
            </w:r>
            <w:r>
              <w:rPr>
                <w:rStyle w:val="82"/>
                <w:rFonts w:hint="default"/>
                <w:color w:val="000000"/>
                <w:highlight w:val="none"/>
                <w:lang w:bidi="ar"/>
              </w:rPr>
              <w:t>（需更换金箔布2次）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棵</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30</w:t>
            </w:r>
          </w:p>
        </w:tc>
      </w:tr>
      <w:tr>
        <w:tblPrEx>
          <w:tblCellMar>
            <w:top w:w="0" w:type="dxa"/>
            <w:left w:w="0" w:type="dxa"/>
            <w:bottom w:w="0" w:type="dxa"/>
            <w:right w:w="0" w:type="dxa"/>
          </w:tblCellMar>
        </w:tblPrEx>
        <w:trPr>
          <w:trHeight w:val="648" w:hRule="atLeast"/>
        </w:trPr>
        <w:tc>
          <w:tcPr>
            <w:tcW w:w="0" w:type="auto"/>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二、展示中心区域</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迎宾花柱</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1.2MM不锈钢饰面烤漆，项目LOGO丝印，内置25*25MM方通框架结构，高仿真花艺</w:t>
            </w:r>
            <w:r>
              <w:rPr>
                <w:rStyle w:val="197"/>
                <w:rFonts w:hint="default"/>
                <w:highlight w:val="none"/>
                <w:lang w:bidi="ar"/>
              </w:rPr>
              <w:br w:type="textWrapping"/>
            </w:r>
            <w:r>
              <w:rPr>
                <w:rStyle w:val="82"/>
                <w:rFonts w:hint="default"/>
                <w:color w:val="000000"/>
                <w:highlight w:val="none"/>
                <w:lang w:bidi="ar"/>
              </w:rPr>
              <w:t>（甲方有权要求修改花艺颜色及款式，更换花艺2次）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450*450*1300MM（H）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12</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雨伞架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1.2MM不锈钢饰面，电镀，项目LOGO丝印，内置25*25MM方通框架结构</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300*800*800MM（H）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LOGO雨伞</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加厚款定制直柄雨伞，含四周LOGO及项目价值点电话号码丝印</w:t>
            </w:r>
            <w:r>
              <w:rPr>
                <w:rStyle w:val="197"/>
                <w:rFonts w:hint="default"/>
                <w:highlight w:val="none"/>
                <w:lang w:bidi="ar"/>
              </w:rPr>
              <w:br w:type="textWrapping"/>
            </w:r>
            <w:r>
              <w:rPr>
                <w:rStyle w:val="82"/>
                <w:rFonts w:hint="default"/>
                <w:color w:val="000000"/>
                <w:highlight w:val="none"/>
                <w:lang w:bidi="ar"/>
              </w:rPr>
              <w:t>（甲方有权要求打样颜色及LOGO）</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1200*1200MM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把</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100</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价值展板</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12MM双层钢化玻璃，内置双面1440写真画面，金属底座内置10MM钢板配重，项目LOGO丝印</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800*1800MM（H）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8</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销售公式展板</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1.2MM不锈钢饰面烤漆，项目LOGO丝印，内置30*30MM方通框架结构，立体亚克力烤漆字，立体亚克力装饰边框，亚克力文件套夹</w:t>
            </w:r>
            <w:r>
              <w:rPr>
                <w:rStyle w:val="197"/>
                <w:rFonts w:hint="default"/>
                <w:highlight w:val="none"/>
                <w:lang w:bidi="ar"/>
              </w:rPr>
              <w:br w:type="textWrapping"/>
            </w:r>
            <w:r>
              <w:rPr>
                <w:rStyle w:val="82"/>
                <w:rFonts w:hint="default"/>
                <w:color w:val="000000"/>
                <w:highlight w:val="none"/>
                <w:lang w:bidi="ar"/>
              </w:rPr>
              <w:t>（甲方有权要求修改尺寸，工艺材质及造型样式，含文件过塑）</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2400*1800MM（H）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资料展架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1.2MM不锈钢饰面烤漆，项目LOGO丝印，内置25*25MM方通框架结构，10MM钢板配重</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800*1800MM（H）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公式文件架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1.2MM不锈钢饰面烤漆，项目LOGO丝印，内置25*25MM方通框架结构，10MM钢板配重，含开合合页装置</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350*460*1000MM（H）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警示三角牌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1.2MM不锈钢饰面烤漆，项目LOGO丝印，含折叠装置及拉杆</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280*500MM（H）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名片架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1.2MM不锈钢饰面烤漆，项目LOGO丝印三层</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180*500*240MM（H）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接待铭牌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12MM厚度钢板激光雕刻，立体接待铭牌，含底座结构，整体烤漆</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260*260MM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小心台阶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1.5MM拉丝不锈钢板，半腐蚀工艺，填冲黑漆</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240*80MM（H）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20</w:t>
            </w:r>
          </w:p>
        </w:tc>
      </w:tr>
      <w:tr>
        <w:tblPrEx>
          <w:tblCellMar>
            <w:top w:w="0" w:type="dxa"/>
            <w:left w:w="0" w:type="dxa"/>
            <w:bottom w:w="0" w:type="dxa"/>
            <w:right w:w="0" w:type="dxa"/>
          </w:tblCellMar>
        </w:tblPrEx>
        <w:trPr>
          <w:trHeight w:val="688"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销售接待台</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1.2MM不锈钢饰面烤漆，项目LOGO丝印，内置25*25MM方通框架结构</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900*450*1200MM（H）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警示锥</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350*350*500MM（H）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礼宾栏</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黑金高端礼宾栏，精致礼宾绳</w:t>
            </w:r>
            <w:r>
              <w:rPr>
                <w:rStyle w:val="197"/>
                <w:rFonts w:hint="default"/>
                <w:highlight w:val="none"/>
                <w:lang w:bidi="ar"/>
              </w:rPr>
              <w:br w:type="textWrapping"/>
            </w:r>
            <w:r>
              <w:rPr>
                <w:rStyle w:val="82"/>
                <w:rFonts w:hint="default"/>
                <w:color w:val="000000"/>
                <w:highlight w:val="none"/>
                <w:lang w:bidi="ar"/>
              </w:rPr>
              <w:t>（甲方有权要求修改材质，颜色及造型样式）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300*300*1000MM（H）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铁马</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1.5MM不锈钢，壁厚0.6MM，铁马，含LOGO牌及丝印</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1500*1100MM（H）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30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垃圾桶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涤纶夹PVC材质，热熔镶嵌LOGO定制</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370*180MM（H）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金蛋台</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12MM夹板木结构，五层次异型造型，搭配烤漆礼物盒6个，高仿真花艺3组，含金蛋100个，金蛋锤，金片10包</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2800*1600*18000MM（H）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广告机</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4K分辨率，55寸液晶电视广告机，立式触摸屏，电脑版：I5+4G+128G内存，项目LOGO丝印</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748*1915MM（H）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台</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w:t>
            </w:r>
          </w:p>
        </w:tc>
      </w:tr>
      <w:tr>
        <w:tblPrEx>
          <w:tblCellMar>
            <w:top w:w="0" w:type="dxa"/>
            <w:left w:w="0" w:type="dxa"/>
            <w:bottom w:w="0" w:type="dxa"/>
            <w:right w:w="0" w:type="dxa"/>
          </w:tblCellMar>
        </w:tblPrEx>
        <w:trPr>
          <w:trHeight w:val="627"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擦鞋机</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黑色无指纹款，含项目LOGO丝印，含擦鞋油5瓶</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510*260*730MM（H）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台</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液晶电视机</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4K超高清，品牌液晶电视机，含电视机支架</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72寸</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台</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地毯1</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涤纶夹PVC材质，热熔镶嵌LOGO定制</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3700*1800MM（H）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地毯2</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涤纶夹PVC材质，热熔镶嵌LOGO定制</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1500*1000MM（H）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展架画架相框</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纯木落地式可调节画架，木质相框</w:t>
            </w:r>
            <w:r>
              <w:rPr>
                <w:rStyle w:val="197"/>
                <w:rFonts w:hint="default"/>
                <w:highlight w:val="none"/>
                <w:lang w:bidi="ar"/>
              </w:rPr>
              <w:br w:type="textWrapping"/>
            </w:r>
            <w:r>
              <w:rPr>
                <w:rStyle w:val="82"/>
                <w:rFonts w:hint="default"/>
                <w:color w:val="000000"/>
                <w:highlight w:val="none"/>
                <w:lang w:bidi="ar"/>
              </w:rPr>
              <w:t>（甲方有权要求修改尺寸，工艺材质及造型样式，需含更换画面2次）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900*1600MM（H）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20</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易拉宝</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高精度写真画面</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800*2000MM（H）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50</w:t>
            </w:r>
          </w:p>
        </w:tc>
      </w:tr>
      <w:tr>
        <w:tblPrEx>
          <w:tblCellMar>
            <w:top w:w="0" w:type="dxa"/>
            <w:left w:w="0" w:type="dxa"/>
            <w:bottom w:w="0" w:type="dxa"/>
            <w:right w:w="0" w:type="dxa"/>
          </w:tblCellMar>
        </w:tblPrEx>
        <w:trPr>
          <w:trHeight w:val="32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销售龙虎榜</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10MM亚克力，背面UV彩白彩， 含可擦水性笔10支</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2400*1200MM（H）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项</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highlight w:val="none"/>
              </w:rPr>
            </w:pPr>
            <w:r>
              <w:rPr>
                <w:rFonts w:hint="eastAsia" w:ascii="微软雅黑" w:hAnsi="微软雅黑" w:eastAsia="微软雅黑" w:cs="微软雅黑"/>
                <w:color w:val="000000"/>
                <w:kern w:val="0"/>
                <w:sz w:val="16"/>
                <w:szCs w:val="16"/>
                <w:highlight w:val="none"/>
                <w:lang w:bidi="ar"/>
              </w:rPr>
              <w:t>4</w:t>
            </w:r>
          </w:p>
        </w:tc>
      </w:tr>
      <w:tr>
        <w:tblPrEx>
          <w:tblCellMar>
            <w:top w:w="0" w:type="dxa"/>
            <w:left w:w="0" w:type="dxa"/>
            <w:bottom w:w="0" w:type="dxa"/>
            <w:right w:w="0" w:type="dxa"/>
          </w:tblCellMar>
        </w:tblPrEx>
        <w:trPr>
          <w:trHeight w:val="648" w:hRule="atLeast"/>
        </w:trPr>
        <w:tc>
          <w:tcPr>
            <w:tcW w:w="0" w:type="auto"/>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highlight w:val="none"/>
              </w:rPr>
            </w:pPr>
            <w:r>
              <w:rPr>
                <w:rFonts w:hint="eastAsia" w:ascii="微软雅黑" w:hAnsi="微软雅黑" w:eastAsia="微软雅黑" w:cs="微软雅黑"/>
                <w:b/>
                <w:color w:val="000000"/>
                <w:kern w:val="0"/>
                <w:sz w:val="18"/>
                <w:szCs w:val="18"/>
                <w:highlight w:val="none"/>
                <w:lang w:bidi="ar"/>
              </w:rPr>
              <w:t>三、样板房区域</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LOGO鞋套</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布艺鞋套，刺绣LOGO</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双</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200</w:t>
            </w:r>
          </w:p>
        </w:tc>
      </w:tr>
      <w:tr>
        <w:tblPrEx>
          <w:tblCellMar>
            <w:top w:w="0" w:type="dxa"/>
            <w:left w:w="0" w:type="dxa"/>
            <w:bottom w:w="0" w:type="dxa"/>
            <w:right w:w="0" w:type="dxa"/>
          </w:tblCellMar>
        </w:tblPrEx>
        <w:trPr>
          <w:trHeight w:val="90"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鞋套收纳筐与皮质座椅</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藤编鞋套收纳筐，含已使用和未使用标识牌，皮质座椅2张</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样板房导视牌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1.2MM不锈钢饰面烤漆，项目LOGO丝印，内置30*30MM方通框架结构，立体亚克力烤漆字</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500*1800MM（H）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树木吊牌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304#1.5MM厚度不锈钢金属结构，含丝印项目LOGO</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260*260MM</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20</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园林花草温馨提示牌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1.2MM不锈钢饰面烤漆，项目LOGO丝印，内置25*25MM方通框架结构，10MM钢板配重</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600*330*700MM（H）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样板房户型牌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1.5MM拉丝不锈钢板，半腐蚀工艺，填冲黑漆，四周15*15MM立体边框</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300*560MM（H）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样板房交付标准牌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1.5MM拉丝不锈钢板，半腐蚀工艺，填冲黑漆，四周15*15MM立体边框</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300*560MM（H）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w:t>
            </w:r>
          </w:p>
        </w:tc>
      </w:tr>
      <w:tr>
        <w:tblPrEx>
          <w:tblCellMar>
            <w:top w:w="0" w:type="dxa"/>
            <w:left w:w="0" w:type="dxa"/>
            <w:bottom w:w="0" w:type="dxa"/>
            <w:right w:w="0" w:type="dxa"/>
          </w:tblCellMar>
        </w:tblPrEx>
        <w:trPr>
          <w:trHeight w:val="707"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玻璃防撞条</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磨砂UV防撞条，所有展示中心及样板房玻璃门窗</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项</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交楼标准贴</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定制设计交楼标准与非交楼标准贴（需可移后续好清理材质）</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260*150MM（H）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张</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样板房请勿提示牌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1.5MM拉丝不锈钢板，半腐蚀工艺，填冲黑漆，立式三角形</w:t>
            </w:r>
            <w:r>
              <w:rPr>
                <w:rStyle w:val="197"/>
                <w:rFonts w:hint="default"/>
                <w:highlight w:val="none"/>
                <w:lang w:bidi="ar"/>
              </w:rPr>
              <w:br w:type="textWrapping"/>
            </w:r>
            <w:r>
              <w:rPr>
                <w:rStyle w:val="82"/>
                <w:rFonts w:hint="default"/>
                <w:color w:val="000000"/>
                <w:highlight w:val="none"/>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260*150MM（H）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40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看楼通道地毯</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197"/>
                <w:rFonts w:hint="default"/>
                <w:highlight w:val="none"/>
                <w:lang w:bidi="ar"/>
              </w:rPr>
              <w:t>加厚圈绒地毯</w:t>
            </w:r>
            <w:r>
              <w:rPr>
                <w:rStyle w:val="197"/>
                <w:rFonts w:hint="default"/>
                <w:highlight w:val="none"/>
                <w:lang w:bidi="ar"/>
              </w:rPr>
              <w:br w:type="textWrapping"/>
            </w:r>
            <w:r>
              <w:rPr>
                <w:rStyle w:val="82"/>
                <w:rFonts w:hint="default"/>
                <w:color w:val="000000"/>
                <w:highlight w:val="none"/>
                <w:lang w:bidi="ar"/>
              </w:rPr>
              <w:t>（甲方有权要求修改尺寸，工艺材质及颜色）</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平方</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w:t>
            </w:r>
          </w:p>
        </w:tc>
      </w:tr>
      <w:tr>
        <w:tblPrEx>
          <w:tblCellMar>
            <w:top w:w="0" w:type="dxa"/>
            <w:left w:w="0" w:type="dxa"/>
            <w:bottom w:w="0" w:type="dxa"/>
            <w:right w:w="0" w:type="dxa"/>
          </w:tblCellMar>
        </w:tblPrEx>
        <w:trPr>
          <w:trHeight w:val="87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手机储物柜</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Style w:val="197"/>
                <w:rFonts w:hint="default"/>
                <w:highlight w:val="none"/>
                <w:lang w:bidi="ar"/>
              </w:rPr>
            </w:pPr>
            <w:r>
              <w:rPr>
                <w:rStyle w:val="197"/>
                <w:rFonts w:hint="default"/>
                <w:highlight w:val="none"/>
                <w:lang w:bidi="ar"/>
              </w:rPr>
              <w:t>金属材质，烤漆，手机充电款，60门</w:t>
            </w:r>
          </w:p>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Style w:val="82"/>
                <w:rFonts w:hint="default"/>
                <w:color w:val="000000"/>
                <w:highlight w:val="none"/>
                <w:lang w:bidi="ar"/>
              </w:rPr>
              <w:t>（甲方有权要求修改尺寸，颜色，工艺材质及造型样式）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300*950*1820MM（H）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highlight w:val="none"/>
              </w:rPr>
            </w:pPr>
            <w:r>
              <w:rPr>
                <w:rFonts w:hint="eastAsia" w:ascii="微软雅黑" w:hAnsi="微软雅黑" w:eastAsia="微软雅黑" w:cs="微软雅黑"/>
                <w:color w:val="000000"/>
                <w:kern w:val="0"/>
                <w:sz w:val="18"/>
                <w:szCs w:val="18"/>
                <w:highlight w:val="none"/>
                <w:lang w:bidi="ar"/>
              </w:rPr>
              <w:t>1</w:t>
            </w:r>
          </w:p>
        </w:tc>
      </w:tr>
    </w:tbl>
    <w:p>
      <w:pPr>
        <w:ind w:firstLine="0" w:firstLineChars="0"/>
        <w:rPr>
          <w:rFonts w:hint="eastAsia" w:ascii="仿宋_GB2312" w:hAnsi="宋体" w:eastAsia="仿宋_GB2312"/>
          <w:color w:val="000000"/>
          <w:sz w:val="32"/>
          <w:szCs w:val="32"/>
          <w:highlight w:val="none"/>
        </w:rPr>
      </w:pPr>
    </w:p>
    <w:p>
      <w:pPr>
        <w:keepNext/>
        <w:keepLines/>
        <w:tabs>
          <w:tab w:val="left" w:pos="1260"/>
        </w:tabs>
        <w:adjustRightInd w:val="0"/>
        <w:spacing w:before="260" w:after="260" w:line="360" w:lineRule="auto"/>
        <w:ind w:firstLine="482" w:firstLineChars="200"/>
        <w:textAlignment w:val="baseline"/>
        <w:outlineLvl w:val="2"/>
        <w:rPr>
          <w:rFonts w:hint="default" w:ascii="宋体" w:hAnsi="宋体" w:eastAsia="宋体"/>
          <w:b/>
          <w:kern w:val="0"/>
          <w:sz w:val="24"/>
          <w:szCs w:val="24"/>
          <w:highlight w:val="none"/>
          <w:lang w:val="en-US" w:eastAsia="zh-CN"/>
        </w:rPr>
      </w:pPr>
      <w:r>
        <w:rPr>
          <w:rFonts w:hint="eastAsia" w:ascii="宋体" w:hAnsi="宋体"/>
          <w:b/>
          <w:kern w:val="0"/>
          <w:sz w:val="24"/>
          <w:szCs w:val="24"/>
          <w:highlight w:val="none"/>
        </w:rPr>
        <w:t>三、</w:t>
      </w:r>
      <w:bookmarkEnd w:id="38"/>
      <w:bookmarkEnd w:id="39"/>
      <w:r>
        <w:rPr>
          <w:rFonts w:hint="eastAsia" w:ascii="宋体" w:hAnsi="宋体"/>
          <w:b/>
          <w:kern w:val="0"/>
          <w:sz w:val="24"/>
          <w:szCs w:val="24"/>
          <w:highlight w:val="none"/>
          <w:lang w:val="en-US" w:eastAsia="zh-CN"/>
        </w:rPr>
        <w:t>服务期限</w:t>
      </w:r>
    </w:p>
    <w:p>
      <w:pPr>
        <w:spacing w:line="360" w:lineRule="auto"/>
        <w:ind w:firstLine="480" w:firstLineChars="200"/>
        <w:rPr>
          <w:rFonts w:hint="eastAsia" w:ascii="宋体" w:hAnsi="宋体" w:eastAsia="宋体" w:cs="Times New Roman"/>
          <w:kern w:val="0"/>
          <w:sz w:val="24"/>
          <w:szCs w:val="24"/>
          <w:highlight w:val="none"/>
        </w:rPr>
      </w:pPr>
      <w:bookmarkStart w:id="40" w:name="_Toc518494121"/>
      <w:bookmarkStart w:id="41" w:name="_Toc57731956"/>
      <w:r>
        <w:rPr>
          <w:rFonts w:hint="eastAsia" w:ascii="宋体" w:hAnsi="宋体" w:eastAsia="宋体" w:cs="Times New Roman"/>
          <w:kern w:val="0"/>
          <w:sz w:val="24"/>
          <w:szCs w:val="24"/>
          <w:highlight w:val="none"/>
        </w:rPr>
        <w:t>自合同签订日期起有效期一年</w:t>
      </w:r>
    </w:p>
    <w:p>
      <w:pPr>
        <w:pStyle w:val="2"/>
        <w:rPr>
          <w:rFonts w:hint="eastAsia"/>
          <w:highlight w:val="none"/>
        </w:rPr>
      </w:pPr>
    </w:p>
    <w:p>
      <w:pPr>
        <w:numPr>
          <w:ilvl w:val="0"/>
          <w:numId w:val="1"/>
        </w:numPr>
        <w:spacing w:line="360" w:lineRule="auto"/>
        <w:ind w:left="0" w:leftChars="0" w:firstLine="482" w:firstLineChars="200"/>
        <w:rPr>
          <w:rFonts w:hint="eastAsia" w:ascii="宋体" w:hAnsi="宋体"/>
          <w:b/>
          <w:kern w:val="0"/>
          <w:sz w:val="24"/>
          <w:szCs w:val="24"/>
          <w:highlight w:val="none"/>
        </w:rPr>
      </w:pPr>
      <w:r>
        <w:rPr>
          <w:rFonts w:hint="eastAsia" w:ascii="宋体" w:hAnsi="宋体"/>
          <w:b/>
          <w:kern w:val="0"/>
          <w:sz w:val="24"/>
          <w:szCs w:val="24"/>
          <w:highlight w:val="none"/>
        </w:rPr>
        <w:t>参选人资格条件</w:t>
      </w:r>
      <w:bookmarkEnd w:id="40"/>
      <w:bookmarkEnd w:id="41"/>
      <w:bookmarkStart w:id="42" w:name="_Hlk77375232"/>
      <w:bookmarkStart w:id="43" w:name="_Toc197404900"/>
      <w:bookmarkStart w:id="44" w:name="_Toc518494122"/>
      <w:bookmarkStart w:id="45" w:name="_Toc57731957"/>
    </w:p>
    <w:p>
      <w:pPr>
        <w:numPr>
          <w:ilvl w:val="0"/>
          <w:numId w:val="2"/>
        </w:numPr>
        <w:spacing w:line="360" w:lineRule="auto"/>
        <w:ind w:left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公司必须是在中华人民共和国境内注册的独立法人机构。公司注册成立时间不得晚于2013年12月31日。</w:t>
      </w:r>
    </w:p>
    <w:p>
      <w:pPr>
        <w:numPr>
          <w:ilvl w:val="0"/>
          <w:numId w:val="2"/>
        </w:numPr>
        <w:spacing w:line="360" w:lineRule="auto"/>
        <w:ind w:left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w:t>
      </w:r>
    </w:p>
    <w:p>
      <w:pPr>
        <w:numPr>
          <w:ilvl w:val="0"/>
          <w:numId w:val="2"/>
        </w:numPr>
        <w:spacing w:line="360" w:lineRule="auto"/>
        <w:ind w:left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本项目不接受2017年1月1日以来，有串通参选不良行为记录或涉嫌串通参选，并正在接受城市主管部门调查的参选申请人不得参选；在深圳市地铁集团有限公司或其下属直管单位存在违约行为的参选人；与深圳市地铁集团有限公司或其下属直管单位有过诉讼、仲裁的；在招参选（询价）活动（包括在深圳地铁项目）中因串通参选（报价）被暂停参选（报价）资格期间；或涉嫌串通参选（报价）并正在接受主管部门调查的。</w:t>
      </w:r>
    </w:p>
    <w:p>
      <w:pPr>
        <w:numPr>
          <w:ilvl w:val="0"/>
          <w:numId w:val="2"/>
        </w:numPr>
        <w:spacing w:line="360" w:lineRule="auto"/>
        <w:ind w:leftChars="200"/>
        <w:rPr>
          <w:rFonts w:hint="eastAsia" w:ascii="宋体" w:hAnsi="宋体" w:eastAsia="宋体" w:cs="Times New Roman"/>
          <w:kern w:val="0"/>
          <w:sz w:val="24"/>
          <w:szCs w:val="24"/>
          <w:highlight w:val="none"/>
        </w:rPr>
      </w:pPr>
      <w:r>
        <w:rPr>
          <w:rFonts w:hint="eastAsia" w:ascii="宋体" w:hAnsi="宋体" w:eastAsia="宋体" w:cs="Times New Roman"/>
          <w:kern w:val="0"/>
          <w:sz w:val="24"/>
          <w:szCs w:val="24"/>
          <w:highlight w:val="none"/>
        </w:rPr>
        <w:t>本项目不接受联合体参选。单位负责人为同一人或者存在控股、管理关系的不同单位，不得参加同一项目比选。</w:t>
      </w:r>
    </w:p>
    <w:bookmarkEnd w:id="42"/>
    <w:p>
      <w:pPr>
        <w:keepNext/>
        <w:keepLines/>
        <w:tabs>
          <w:tab w:val="left" w:pos="1260"/>
        </w:tabs>
        <w:adjustRightInd w:val="0"/>
        <w:spacing w:line="360" w:lineRule="auto"/>
        <w:ind w:firstLine="480" w:firstLineChars="200"/>
        <w:textAlignment w:val="baseline"/>
        <w:outlineLvl w:val="2"/>
        <w:rPr>
          <w:rFonts w:hint="eastAsia" w:ascii="宋体" w:hAnsi="宋体"/>
          <w:kern w:val="0"/>
          <w:sz w:val="24"/>
          <w:szCs w:val="24"/>
          <w:highlight w:val="none"/>
        </w:rPr>
      </w:pPr>
    </w:p>
    <w:p>
      <w:pPr>
        <w:keepNext/>
        <w:keepLines/>
        <w:tabs>
          <w:tab w:val="left" w:pos="1260"/>
        </w:tabs>
        <w:adjustRightInd w:val="0"/>
        <w:spacing w:after="260" w:line="360" w:lineRule="auto"/>
        <w:ind w:firstLine="482" w:firstLineChars="200"/>
        <w:textAlignment w:val="baseline"/>
        <w:outlineLvl w:val="2"/>
        <w:rPr>
          <w:rFonts w:hint="eastAsia" w:ascii="宋体" w:hAnsi="宋体"/>
          <w:b/>
          <w:kern w:val="0"/>
          <w:sz w:val="24"/>
          <w:szCs w:val="24"/>
          <w:highlight w:val="none"/>
        </w:rPr>
      </w:pPr>
      <w:r>
        <w:rPr>
          <w:rFonts w:hint="eastAsia" w:ascii="宋体" w:hAnsi="宋体"/>
          <w:b/>
          <w:kern w:val="0"/>
          <w:sz w:val="24"/>
          <w:szCs w:val="24"/>
          <w:highlight w:val="none"/>
        </w:rPr>
        <w:t>五、比选、参选的</w:t>
      </w:r>
      <w:bookmarkEnd w:id="43"/>
      <w:r>
        <w:rPr>
          <w:rFonts w:hint="eastAsia" w:ascii="宋体" w:hAnsi="宋体"/>
          <w:b/>
          <w:kern w:val="0"/>
          <w:sz w:val="24"/>
          <w:szCs w:val="24"/>
          <w:highlight w:val="none"/>
        </w:rPr>
        <w:t>时间安排</w:t>
      </w:r>
      <w:bookmarkEnd w:id="44"/>
      <w:bookmarkEnd w:id="45"/>
    </w:p>
    <w:tbl>
      <w:tblPr>
        <w:tblStyle w:val="47"/>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bookmarkStart w:id="46" w:name="_Hlk77375339"/>
            <w:r>
              <w:rPr>
                <w:rFonts w:hint="eastAsia" w:ascii="宋体" w:hAnsi="宋体" w:cs="宋体"/>
                <w:bCs/>
                <w:color w:val="FFFFFF"/>
                <w:kern w:val="2"/>
                <w:sz w:val="21"/>
                <w:szCs w:val="21"/>
                <w:highlight w:val="none"/>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top"/>
          </w:tcPr>
          <w:p>
            <w:pPr>
              <w:pStyle w:val="3"/>
              <w:adjustRightInd w:val="0"/>
              <w:snapToGrid w:val="0"/>
              <w:spacing w:line="240" w:lineRule="auto"/>
              <w:ind w:left="0" w:leftChars="0" w:firstLine="0" w:firstLineChars="0"/>
              <w:jc w:val="center"/>
              <w:rPr>
                <w:rFonts w:hint="eastAsia" w:ascii="宋体" w:hAnsi="宋体" w:cs="宋体"/>
                <w:bCs/>
                <w:color w:val="FFFFFF"/>
                <w:kern w:val="2"/>
                <w:sz w:val="21"/>
                <w:szCs w:val="21"/>
                <w:highlight w:val="none"/>
              </w:rPr>
            </w:pPr>
            <w:r>
              <w:rPr>
                <w:rFonts w:hint="eastAsia" w:ascii="宋体" w:hAnsi="宋体" w:cs="宋体"/>
                <w:bCs/>
                <w:color w:val="FFFFFF"/>
                <w:kern w:val="2"/>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ascii="宋体" w:hAnsi="宋体" w:cs="宋体"/>
                <w:bCs/>
                <w:kern w:val="2"/>
                <w:sz w:val="21"/>
                <w:szCs w:val="21"/>
                <w:highlight w:val="none"/>
              </w:rPr>
            </w:pPr>
            <w:r>
              <w:rPr>
                <w:rFonts w:hint="eastAsia" w:ascii="宋体" w:hAnsi="宋体" w:cs="宋体"/>
                <w:bCs/>
                <w:kern w:val="2"/>
                <w:sz w:val="21"/>
                <w:szCs w:val="21"/>
                <w:highlight w:val="none"/>
              </w:rPr>
              <w:t>发布比选公告</w:t>
            </w:r>
          </w:p>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highlight w:val="none"/>
              </w:rPr>
            </w:pPr>
            <w:r>
              <w:rPr>
                <w:rFonts w:hint="eastAsia" w:ascii="宋体" w:hAnsi="宋体" w:cs="宋体"/>
                <w:bCs/>
                <w:szCs w:val="21"/>
                <w:highlight w:val="none"/>
              </w:rPr>
              <w:t xml:space="preserve">   </w:t>
            </w:r>
            <w:r>
              <w:rPr>
                <w:rFonts w:hint="eastAsia" w:ascii="宋体" w:hAnsi="宋体" w:cs="宋体"/>
                <w:bCs/>
                <w:szCs w:val="21"/>
                <w:highlight w:val="none"/>
                <w:lang w:val="en-US" w:eastAsia="zh-CN"/>
              </w:rPr>
              <w:t>2021年9月</w:t>
            </w:r>
            <w:r>
              <w:rPr>
                <w:rFonts w:hint="eastAsia" w:ascii="宋体" w:hAnsi="宋体" w:cs="宋体"/>
                <w:bCs/>
                <w:szCs w:val="21"/>
                <w:highlight w:val="none"/>
              </w:rPr>
              <w:t xml:space="preserve"> </w:t>
            </w:r>
            <w:r>
              <w:rPr>
                <w:rFonts w:hint="eastAsia" w:ascii="宋体" w:hAnsi="宋体" w:cs="宋体"/>
                <w:bCs/>
                <w:szCs w:val="21"/>
                <w:highlight w:val="none"/>
                <w:lang w:val="en-US" w:eastAsia="zh-CN"/>
              </w:rPr>
              <w:t>7</w:t>
            </w:r>
            <w:r>
              <w:rPr>
                <w:rFonts w:hint="eastAsia" w:ascii="宋体" w:hAnsi="宋体" w:cs="宋体"/>
                <w:bCs/>
                <w:szCs w:val="21"/>
                <w:highlight w:val="none"/>
              </w:rPr>
              <w:t xml:space="preserve">  日</w:t>
            </w:r>
          </w:p>
          <w:p>
            <w:pPr>
              <w:adjustRightInd w:val="0"/>
              <w:snapToGrid w:val="0"/>
              <w:jc w:val="center"/>
              <w:rPr>
                <w:rFonts w:hint="eastAsia" w:ascii="宋体" w:hAnsi="宋体" w:cs="宋体"/>
                <w:bCs/>
                <w:szCs w:val="21"/>
                <w:highlight w:val="none"/>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484" w:leftChars="44" w:hanging="392" w:hangingChars="187"/>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深圳市地铁集团有限公司外网</w:t>
            </w:r>
            <w:r>
              <w:rPr>
                <w:rFonts w:hint="eastAsia" w:ascii="宋体" w:hAnsi="宋体" w:cs="宋体"/>
                <w:color w:val="000000"/>
                <w:sz w:val="21"/>
                <w:szCs w:val="21"/>
                <w:highlight w:val="none"/>
              </w:rPr>
              <w:t>、</w:t>
            </w:r>
            <w:r>
              <w:rPr>
                <w:rFonts w:hint="eastAsia" w:ascii="宋体" w:hAnsi="宋体" w:cs="宋体"/>
                <w:bCs/>
                <w:kern w:val="2"/>
                <w:sz w:val="21"/>
                <w:szCs w:val="21"/>
                <w:highlight w:val="none"/>
              </w:rPr>
              <w:t>国资委阳光采购平台、</w:t>
            </w:r>
            <w:r>
              <w:rPr>
                <w:rFonts w:hint="eastAsia" w:ascii="宋体" w:hAnsi="宋体" w:cs="宋体"/>
                <w:bCs/>
                <w:kern w:val="2"/>
                <w:sz w:val="21"/>
                <w:szCs w:val="21"/>
                <w:highlight w:val="none"/>
                <w:lang w:val="en-US" w:eastAsia="zh-CN"/>
              </w:rPr>
              <w:t>深铁招采网、</w:t>
            </w:r>
            <w:r>
              <w:rPr>
                <w:rFonts w:hint="eastAsia" w:ascii="宋体" w:hAnsi="宋体" w:cs="宋体"/>
                <w:bCs/>
                <w:kern w:val="2"/>
                <w:sz w:val="21"/>
                <w:szCs w:val="21"/>
                <w:highlight w:val="none"/>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宋体" w:hAnsi="宋体" w:cs="宋体"/>
                <w:bCs/>
                <w:szCs w:val="21"/>
                <w:highlight w:val="none"/>
              </w:rPr>
            </w:pPr>
            <w:r>
              <w:rPr>
                <w:rFonts w:hint="eastAsia" w:ascii="宋体" w:hAnsi="宋体" w:cs="宋体"/>
                <w:bCs/>
                <w:szCs w:val="21"/>
                <w:highlight w:val="none"/>
                <w:lang w:val="en-US" w:eastAsia="zh-CN"/>
              </w:rPr>
              <w:t>2021年9月</w:t>
            </w:r>
            <w:r>
              <w:rPr>
                <w:rFonts w:hint="eastAsia" w:ascii="宋体" w:hAnsi="宋体" w:cs="宋体"/>
                <w:bCs/>
                <w:szCs w:val="21"/>
                <w:highlight w:val="none"/>
              </w:rPr>
              <w:t xml:space="preserve"> </w:t>
            </w:r>
            <w:r>
              <w:rPr>
                <w:rFonts w:hint="eastAsia" w:ascii="宋体" w:hAnsi="宋体" w:cs="宋体"/>
                <w:bCs/>
                <w:szCs w:val="21"/>
                <w:highlight w:val="none"/>
                <w:lang w:val="en-US" w:eastAsia="zh-CN"/>
              </w:rPr>
              <w:t>20</w:t>
            </w:r>
            <w:r>
              <w:rPr>
                <w:rFonts w:hint="eastAsia" w:ascii="宋体" w:hAnsi="宋体" w:cs="宋体"/>
                <w:bCs/>
                <w:szCs w:val="21"/>
                <w:highlight w:val="none"/>
              </w:rPr>
              <w:t xml:space="preserve"> 日上午09:30</w:t>
            </w:r>
          </w:p>
          <w:p>
            <w:pPr>
              <w:adjustRightInd w:val="0"/>
              <w:snapToGrid w:val="0"/>
              <w:jc w:val="center"/>
              <w:rPr>
                <w:rFonts w:hint="eastAsia" w:ascii="宋体" w:hAnsi="宋体" w:cs="宋体"/>
                <w:bCs/>
                <w:szCs w:val="21"/>
                <w:highlight w:val="none"/>
              </w:rPr>
            </w:pP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281" w:leftChars="44" w:hanging="189" w:hangingChars="90"/>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1.纸质版参选文件递交地点：地铁大厦1楼评定标中心指定会议室</w:t>
            </w:r>
          </w:p>
          <w:p>
            <w:pPr>
              <w:pStyle w:val="3"/>
              <w:adjustRightInd w:val="0"/>
              <w:snapToGrid w:val="0"/>
              <w:spacing w:line="240" w:lineRule="auto"/>
              <w:ind w:left="484" w:leftChars="44" w:hanging="392" w:hangingChars="187"/>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2.电子版参选文件递交平台：深圳地铁智能招采系统</w:t>
            </w:r>
          </w:p>
          <w:p>
            <w:pPr>
              <w:pStyle w:val="3"/>
              <w:adjustRightInd w:val="0"/>
              <w:snapToGrid w:val="0"/>
              <w:spacing w:line="240" w:lineRule="auto"/>
              <w:ind w:left="281" w:leftChars="44" w:hanging="189" w:hangingChars="90"/>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firstLine="420"/>
              <w:jc w:val="center"/>
              <w:rPr>
                <w:rFonts w:ascii="宋体" w:hAnsi="宋体" w:cs="宋体"/>
                <w:bCs/>
                <w:szCs w:val="21"/>
                <w:highlight w:val="none"/>
              </w:rPr>
            </w:pPr>
            <w:r>
              <w:rPr>
                <w:rFonts w:hint="eastAsia" w:ascii="宋体" w:hAnsi="宋体" w:cs="宋体"/>
                <w:bCs/>
                <w:szCs w:val="21"/>
                <w:highlight w:val="none"/>
                <w:lang w:val="en-US" w:eastAsia="zh-CN"/>
              </w:rPr>
              <w:t>2021年9月20</w:t>
            </w:r>
            <w:r>
              <w:rPr>
                <w:rFonts w:hint="eastAsia" w:ascii="宋体" w:hAnsi="宋体" w:cs="宋体"/>
                <w:bCs/>
                <w:szCs w:val="21"/>
                <w:highlight w:val="none"/>
              </w:rPr>
              <w:t xml:space="preserve">  日        </w:t>
            </w:r>
          </w:p>
          <w:p>
            <w:pPr>
              <w:adjustRightInd w:val="0"/>
              <w:snapToGrid w:val="0"/>
              <w:jc w:val="center"/>
              <w:rPr>
                <w:rFonts w:hint="eastAsia" w:ascii="宋体" w:hAnsi="宋体" w:cs="宋体"/>
                <w:bCs/>
                <w:szCs w:val="21"/>
                <w:highlight w:val="none"/>
              </w:rPr>
            </w:pPr>
            <w:r>
              <w:rPr>
                <w:rFonts w:hint="eastAsia" w:ascii="宋体" w:hAnsi="宋体" w:cs="宋体"/>
                <w:bCs/>
                <w:szCs w:val="21"/>
                <w:highlight w:val="none"/>
              </w:rPr>
              <w:t>上午09:</w:t>
            </w:r>
            <w:r>
              <w:rPr>
                <w:rFonts w:ascii="宋体" w:hAnsi="宋体" w:cs="宋体"/>
                <w:bCs/>
                <w:szCs w:val="21"/>
                <w:highlight w:val="none"/>
              </w:rPr>
              <w:t>3</w:t>
            </w:r>
            <w:r>
              <w:rPr>
                <w:rFonts w:hint="eastAsia" w:ascii="宋体" w:hAnsi="宋体" w:cs="宋体"/>
                <w:bCs/>
                <w:szCs w:val="21"/>
                <w:highlight w:val="none"/>
              </w:rPr>
              <w:t>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143" w:leftChars="68" w:firstLine="33" w:firstLineChars="16"/>
              <w:jc w:val="left"/>
              <w:rPr>
                <w:rFonts w:hint="eastAsia" w:ascii="宋体" w:hAnsi="宋体" w:cs="宋体"/>
                <w:bCs/>
                <w:kern w:val="2"/>
                <w:sz w:val="21"/>
                <w:szCs w:val="21"/>
                <w:highlight w:val="none"/>
              </w:rPr>
            </w:pPr>
            <w:r>
              <w:rPr>
                <w:rFonts w:hint="eastAsia" w:ascii="宋体" w:hAnsi="宋体" w:cs="宋体"/>
                <w:bCs/>
                <w:kern w:val="2"/>
                <w:sz w:val="21"/>
                <w:szCs w:val="21"/>
                <w:highlight w:val="none"/>
              </w:rPr>
              <w:t>开标地点：地铁大厦1楼评定标中心指定会议室</w:t>
            </w:r>
          </w:p>
        </w:tc>
      </w:tr>
      <w:bookmarkEnd w:id="46"/>
    </w:tbl>
    <w:p>
      <w:pPr>
        <w:spacing w:line="360" w:lineRule="auto"/>
        <w:ind w:firstLine="420" w:firstLineChars="200"/>
        <w:rPr>
          <w:rFonts w:hint="eastAsia"/>
          <w:szCs w:val="24"/>
          <w:highlight w:val="none"/>
        </w:rPr>
      </w:pPr>
    </w:p>
    <w:p>
      <w:pPr>
        <w:pStyle w:val="3"/>
        <w:ind w:left="0" w:leftChars="0" w:firstLine="0" w:firstLineChars="0"/>
        <w:rPr>
          <w:rFonts w:ascii="宋体" w:hAnsi="宋体"/>
          <w:kern w:val="2"/>
          <w:sz w:val="24"/>
          <w:szCs w:val="24"/>
          <w:highlight w:val="none"/>
        </w:rPr>
      </w:pPr>
      <w:r>
        <w:rPr>
          <w:rFonts w:hint="eastAsia" w:ascii="宋体" w:hAnsi="宋体"/>
          <w:kern w:val="2"/>
          <w:sz w:val="24"/>
          <w:szCs w:val="24"/>
          <w:highlight w:val="none"/>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47" w:name="_Toc57731958"/>
      <w:bookmarkStart w:id="48" w:name="_Toc518494123"/>
      <w:r>
        <w:rPr>
          <w:rFonts w:hint="eastAsia" w:ascii="宋体" w:hAnsi="宋体"/>
          <w:b/>
          <w:kern w:val="0"/>
          <w:sz w:val="24"/>
          <w:szCs w:val="24"/>
          <w:highlight w:val="none"/>
        </w:rPr>
        <w:t>六、参选费用</w:t>
      </w:r>
      <w:bookmarkEnd w:id="47"/>
      <w:bookmarkEnd w:id="48"/>
    </w:p>
    <w:p>
      <w:pPr>
        <w:pStyle w:val="3"/>
        <w:ind w:left="0" w:leftChars="0" w:firstLine="480" w:firstLineChars="200"/>
        <w:rPr>
          <w:rFonts w:ascii="宋体" w:hAnsi="宋体"/>
          <w:sz w:val="24"/>
          <w:szCs w:val="24"/>
          <w:highlight w:val="none"/>
        </w:rPr>
      </w:pPr>
      <w:r>
        <w:rPr>
          <w:rFonts w:hint="eastAsia" w:ascii="宋体" w:hAnsi="宋体"/>
          <w:sz w:val="24"/>
          <w:szCs w:val="24"/>
          <w:highlight w:val="none"/>
        </w:rPr>
        <w:t>参选人应承担所有与准备和参加参选有关的费用。无论招参选的结果如何，参选人均自行承担因参加参选而发生的一切费用。</w:t>
      </w:r>
    </w:p>
    <w:p>
      <w:pPr>
        <w:pStyle w:val="3"/>
        <w:ind w:left="0" w:leftChars="0" w:firstLine="480" w:firstLineChars="200"/>
        <w:rPr>
          <w:rFonts w:hint="eastAsia" w:ascii="宋体" w:hAnsi="宋体"/>
          <w:sz w:val="24"/>
          <w:szCs w:val="24"/>
          <w:highlight w:val="none"/>
        </w:rPr>
      </w:pPr>
    </w:p>
    <w:p>
      <w:pPr>
        <w:keepNext/>
        <w:keepLines/>
        <w:tabs>
          <w:tab w:val="left" w:pos="1260"/>
        </w:tabs>
        <w:adjustRightInd w:val="0"/>
        <w:spacing w:line="360" w:lineRule="auto"/>
        <w:ind w:firstLine="482" w:firstLineChars="200"/>
        <w:textAlignment w:val="baseline"/>
        <w:outlineLvl w:val="2"/>
        <w:rPr>
          <w:rFonts w:hint="eastAsia" w:ascii="宋体" w:hAnsi="宋体"/>
          <w:b/>
          <w:kern w:val="0"/>
          <w:sz w:val="24"/>
          <w:szCs w:val="24"/>
          <w:highlight w:val="none"/>
        </w:rPr>
      </w:pPr>
      <w:bookmarkStart w:id="49" w:name="_Toc518494124"/>
      <w:bookmarkStart w:id="50" w:name="_Toc57731959"/>
      <w:r>
        <w:rPr>
          <w:rFonts w:hint="eastAsia" w:ascii="宋体" w:hAnsi="宋体"/>
          <w:b/>
          <w:kern w:val="0"/>
          <w:sz w:val="24"/>
          <w:szCs w:val="24"/>
          <w:highlight w:val="none"/>
        </w:rPr>
        <w:t>七、参选报价限价</w:t>
      </w:r>
      <w:bookmarkEnd w:id="49"/>
      <w:bookmarkEnd w:id="50"/>
    </w:p>
    <w:p>
      <w:pPr>
        <w:pStyle w:val="24"/>
        <w:tabs>
          <w:tab w:val="right" w:pos="9026"/>
        </w:tabs>
        <w:spacing w:line="360" w:lineRule="auto"/>
        <w:ind w:firstLine="480" w:firstLineChars="200"/>
        <w:rPr>
          <w:rFonts w:hint="eastAsia" w:hAnsi="宋体"/>
          <w:sz w:val="24"/>
          <w:szCs w:val="24"/>
          <w:highlight w:val="none"/>
        </w:rPr>
      </w:pPr>
      <w:r>
        <w:rPr>
          <w:rFonts w:hint="eastAsia" w:hAnsi="宋体"/>
          <w:sz w:val="24"/>
          <w:szCs w:val="24"/>
          <w:highlight w:val="none"/>
        </w:rPr>
        <w:t>本次参选报价</w:t>
      </w:r>
      <w:r>
        <w:rPr>
          <w:rFonts w:hint="eastAsia" w:hAnsi="宋体"/>
          <w:b/>
          <w:bCs/>
          <w:sz w:val="24"/>
          <w:szCs w:val="24"/>
          <w:highlight w:val="none"/>
          <w:u w:val="single"/>
        </w:rPr>
        <w:t>最高限价为人民币</w:t>
      </w:r>
      <w:r>
        <w:rPr>
          <w:rFonts w:hint="eastAsia" w:hAnsi="宋体"/>
          <w:b/>
          <w:bCs/>
          <w:sz w:val="24"/>
          <w:szCs w:val="24"/>
          <w:highlight w:val="none"/>
          <w:u w:val="single"/>
          <w:lang w:val="en-US" w:eastAsia="zh-CN"/>
        </w:rPr>
        <w:t>165</w:t>
      </w:r>
      <w:r>
        <w:rPr>
          <w:rFonts w:hint="eastAsia" w:hAnsi="宋体"/>
          <w:b/>
          <w:bCs/>
          <w:sz w:val="24"/>
          <w:szCs w:val="24"/>
          <w:highlight w:val="none"/>
          <w:u w:val="single"/>
        </w:rPr>
        <w:t>.00万元（</w:t>
      </w:r>
      <w:r>
        <w:rPr>
          <w:rFonts w:hint="eastAsia" w:hAnsi="宋体"/>
          <w:sz w:val="24"/>
          <w:szCs w:val="24"/>
          <w:highlight w:val="none"/>
        </w:rPr>
        <w:t>含税）。</w:t>
      </w:r>
    </w:p>
    <w:p>
      <w:pPr>
        <w:pStyle w:val="24"/>
        <w:spacing w:line="360" w:lineRule="auto"/>
        <w:ind w:firstLine="480" w:firstLineChars="200"/>
        <w:rPr>
          <w:rFonts w:hint="eastAsia" w:ascii="宋体" w:hAnsi="宋体"/>
          <w:sz w:val="24"/>
          <w:szCs w:val="24"/>
          <w:highlight w:val="none"/>
        </w:rPr>
      </w:pPr>
      <w:bookmarkStart w:id="51" w:name="_Toc57731960"/>
      <w:r>
        <w:rPr>
          <w:rFonts w:hint="eastAsia" w:hAnsi="宋体" w:cs="宋体"/>
          <w:bCs/>
          <w:kern w:val="2"/>
          <w:sz w:val="24"/>
          <w:szCs w:val="24"/>
          <w:highlight w:val="none"/>
        </w:rPr>
        <w:t>其中</w:t>
      </w:r>
      <w:r>
        <w:rPr>
          <w:rFonts w:hint="eastAsia" w:hAnsi="宋体" w:eastAsia="宋体" w:cs="宋体"/>
          <w:bCs/>
          <w:kern w:val="2"/>
          <w:sz w:val="24"/>
          <w:szCs w:val="24"/>
          <w:highlight w:val="none"/>
        </w:rPr>
        <w:t>系列营销活动控制价为</w:t>
      </w:r>
      <w:r>
        <w:rPr>
          <w:rFonts w:hint="eastAsia" w:hAnsi="宋体" w:eastAsia="宋体" w:cs="宋体"/>
          <w:bCs/>
          <w:kern w:val="2"/>
          <w:sz w:val="24"/>
          <w:szCs w:val="24"/>
          <w:highlight w:val="none"/>
          <w:lang w:val="en-US" w:eastAsia="zh-CN"/>
        </w:rPr>
        <w:t>80</w:t>
      </w:r>
      <w:r>
        <w:rPr>
          <w:rFonts w:hint="eastAsia" w:hAnsi="宋体" w:eastAsia="宋体" w:cs="宋体"/>
          <w:bCs/>
          <w:kern w:val="2"/>
          <w:sz w:val="24"/>
          <w:szCs w:val="24"/>
          <w:highlight w:val="none"/>
        </w:rPr>
        <w:t>万元（含税），</w:t>
      </w:r>
      <w:r>
        <w:rPr>
          <w:rFonts w:hint="eastAsia" w:hAnsi="宋体" w:eastAsia="宋体" w:cs="宋体"/>
          <w:bCs/>
          <w:kern w:val="2"/>
          <w:sz w:val="24"/>
          <w:szCs w:val="24"/>
          <w:highlight w:val="none"/>
          <w:lang w:val="en-US" w:eastAsia="zh-CN"/>
        </w:rPr>
        <w:t>现场包装服务</w:t>
      </w:r>
      <w:r>
        <w:rPr>
          <w:rFonts w:hint="eastAsia" w:hAnsi="宋体" w:eastAsia="宋体" w:cs="宋体"/>
          <w:bCs/>
          <w:kern w:val="2"/>
          <w:sz w:val="24"/>
          <w:szCs w:val="24"/>
          <w:highlight w:val="none"/>
        </w:rPr>
        <w:t>控制价为</w:t>
      </w:r>
      <w:r>
        <w:rPr>
          <w:rFonts w:hint="eastAsia" w:hAnsi="宋体" w:eastAsia="宋体" w:cs="宋体"/>
          <w:bCs/>
          <w:kern w:val="2"/>
          <w:sz w:val="24"/>
          <w:szCs w:val="24"/>
          <w:highlight w:val="none"/>
          <w:lang w:val="en-US" w:eastAsia="zh-CN"/>
        </w:rPr>
        <w:t>85万</w:t>
      </w:r>
      <w:r>
        <w:rPr>
          <w:rFonts w:hint="eastAsia" w:hAnsi="宋体" w:eastAsia="宋体" w:cs="宋体"/>
          <w:bCs/>
          <w:kern w:val="2"/>
          <w:sz w:val="24"/>
          <w:szCs w:val="24"/>
          <w:highlight w:val="none"/>
        </w:rPr>
        <w:t>元（含税）</w:t>
      </w:r>
      <w:r>
        <w:rPr>
          <w:rFonts w:hint="eastAsia" w:hAnsi="宋体" w:cs="宋体"/>
          <w:bCs/>
          <w:kern w:val="2"/>
          <w:sz w:val="24"/>
          <w:szCs w:val="24"/>
          <w:highlight w:val="none"/>
        </w:rPr>
        <w:t>。</w:t>
      </w:r>
      <w:r>
        <w:rPr>
          <w:rFonts w:hint="eastAsia" w:ascii="宋体" w:hAnsi="宋体"/>
          <w:sz w:val="24"/>
          <w:szCs w:val="24"/>
          <w:highlight w:val="none"/>
        </w:rPr>
        <w:t>超过参选报价上限按无效标处理。</w:t>
      </w:r>
    </w:p>
    <w:p>
      <w:pPr>
        <w:pStyle w:val="24"/>
        <w:spacing w:line="360" w:lineRule="auto"/>
        <w:ind w:firstLine="480" w:firstLineChars="200"/>
        <w:rPr>
          <w:rFonts w:hint="eastAsia" w:hAnsi="宋体" w:cs="宋体"/>
          <w:sz w:val="24"/>
          <w:szCs w:val="24"/>
          <w:highlight w:val="none"/>
        </w:rPr>
      </w:pPr>
    </w:p>
    <w:p>
      <w:pPr>
        <w:pStyle w:val="5"/>
        <w:spacing w:after="0" w:line="360" w:lineRule="auto"/>
        <w:rPr>
          <w:szCs w:val="28"/>
          <w:highlight w:val="none"/>
        </w:rPr>
      </w:pPr>
      <w:r>
        <w:rPr>
          <w:highlight w:val="none"/>
        </w:rPr>
        <w:br w:type="page"/>
      </w:r>
      <w:r>
        <w:rPr>
          <w:rFonts w:hint="eastAsia" w:ascii="宋体" w:hAnsi="宋体" w:eastAsia="宋体"/>
          <w:b/>
          <w:szCs w:val="28"/>
          <w:highlight w:val="none"/>
        </w:rPr>
        <w:t>第二章  比选文件</w:t>
      </w:r>
      <w:bookmarkEnd w:id="51"/>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2" w:name="_Toc518494126"/>
      <w:bookmarkStart w:id="53" w:name="_Toc57731961"/>
      <w:r>
        <w:rPr>
          <w:rFonts w:hint="eastAsia" w:ascii="宋体" w:hAnsi="宋体"/>
          <w:b/>
          <w:kern w:val="0"/>
          <w:sz w:val="24"/>
          <w:szCs w:val="24"/>
          <w:highlight w:val="none"/>
        </w:rPr>
        <w:t>一、比选文件的构成</w:t>
      </w:r>
      <w:bookmarkEnd w:id="52"/>
      <w:bookmarkEnd w:id="53"/>
    </w:p>
    <w:p>
      <w:pPr>
        <w:pStyle w:val="24"/>
        <w:ind w:firstLine="480" w:firstLineChars="200"/>
        <w:rPr>
          <w:rFonts w:hint="eastAsia" w:ascii="宋体" w:hAnsi="宋体" w:eastAsia="宋体" w:cs="Times New Roman"/>
          <w:sz w:val="24"/>
          <w:highlight w:val="none"/>
        </w:rPr>
      </w:pPr>
      <w:r>
        <w:rPr>
          <w:rFonts w:hint="eastAsia" w:ascii="宋体" w:hAnsi="宋体"/>
          <w:sz w:val="24"/>
          <w:highlight w:val="none"/>
        </w:rPr>
        <w:t>比选文件用以阐明所需参选须知、评定标程</w:t>
      </w:r>
      <w:r>
        <w:rPr>
          <w:rFonts w:hint="eastAsia" w:ascii="宋体" w:hAnsi="宋体" w:eastAsia="宋体" w:cs="Times New Roman"/>
          <w:sz w:val="24"/>
          <w:highlight w:val="none"/>
        </w:rPr>
        <w:t>序、深铁瑞城系列营销活动与现场包装</w:t>
      </w:r>
      <w:r>
        <w:rPr>
          <w:rFonts w:hint="eastAsia" w:ascii="宋体" w:hAnsi="宋体" w:eastAsia="宋体" w:cs="Times New Roman"/>
          <w:sz w:val="24"/>
          <w:highlight w:val="none"/>
          <w:lang w:val="en-US" w:eastAsia="zh-CN"/>
        </w:rPr>
        <w:t>服务</w:t>
      </w:r>
      <w:r>
        <w:rPr>
          <w:rFonts w:hint="eastAsia" w:ascii="宋体" w:hAnsi="宋体" w:eastAsia="宋体" w:cs="Times New Roman"/>
          <w:sz w:val="24"/>
          <w:highlight w:val="none"/>
        </w:rPr>
        <w:t>工作任务及要求、合同条款等，比选文件由下述部分组成：</w:t>
      </w:r>
    </w:p>
    <w:p>
      <w:pPr>
        <w:pStyle w:val="3"/>
        <w:tabs>
          <w:tab w:val="left" w:pos="1050"/>
        </w:tabs>
        <w:ind w:left="0" w:leftChars="0" w:firstLine="480" w:firstLineChars="200"/>
        <w:rPr>
          <w:rFonts w:ascii="宋体" w:hAnsi="宋体"/>
          <w:sz w:val="24"/>
          <w:highlight w:val="none"/>
        </w:rPr>
      </w:pPr>
      <w:r>
        <w:rPr>
          <w:rFonts w:hint="eastAsia" w:ascii="宋体" w:hAnsi="宋体"/>
          <w:sz w:val="24"/>
          <w:highlight w:val="none"/>
        </w:rPr>
        <w:t>致参选人</w:t>
      </w:r>
    </w:p>
    <w:p>
      <w:pPr>
        <w:pStyle w:val="3"/>
        <w:ind w:left="0" w:leftChars="0" w:firstLine="480" w:firstLineChars="200"/>
        <w:rPr>
          <w:rFonts w:ascii="宋体" w:hAnsi="宋体"/>
          <w:sz w:val="24"/>
          <w:highlight w:val="none"/>
        </w:rPr>
      </w:pPr>
      <w:r>
        <w:rPr>
          <w:rFonts w:hint="eastAsia" w:ascii="宋体" w:hAnsi="宋体"/>
          <w:sz w:val="24"/>
          <w:highlight w:val="none"/>
        </w:rPr>
        <w:t>参选文件无效和废标的情形摘要</w:t>
      </w:r>
    </w:p>
    <w:p>
      <w:pPr>
        <w:pStyle w:val="3"/>
        <w:numPr>
          <w:ilvl w:val="0"/>
          <w:numId w:val="3"/>
        </w:numPr>
        <w:ind w:leftChars="0" w:firstLineChars="0"/>
        <w:rPr>
          <w:rFonts w:ascii="宋体" w:hAnsi="宋体"/>
          <w:sz w:val="24"/>
          <w:highlight w:val="none"/>
        </w:rPr>
      </w:pPr>
      <w:r>
        <w:rPr>
          <w:rFonts w:hint="eastAsia" w:ascii="宋体" w:hAnsi="宋体"/>
          <w:sz w:val="24"/>
          <w:highlight w:val="none"/>
        </w:rPr>
        <w:t>参选须知</w:t>
      </w:r>
    </w:p>
    <w:p>
      <w:pPr>
        <w:pStyle w:val="3"/>
        <w:numPr>
          <w:ilvl w:val="0"/>
          <w:numId w:val="3"/>
        </w:numPr>
        <w:ind w:leftChars="0" w:firstLineChars="0"/>
        <w:rPr>
          <w:rFonts w:ascii="宋体" w:hAnsi="宋体"/>
          <w:sz w:val="24"/>
          <w:highlight w:val="none"/>
        </w:rPr>
      </w:pPr>
      <w:r>
        <w:rPr>
          <w:rFonts w:hint="eastAsia" w:ascii="宋体" w:hAnsi="宋体"/>
          <w:sz w:val="24"/>
          <w:highlight w:val="none"/>
        </w:rPr>
        <w:t>参选文件格式</w:t>
      </w:r>
    </w:p>
    <w:p>
      <w:pPr>
        <w:pStyle w:val="3"/>
        <w:numPr>
          <w:ilvl w:val="0"/>
          <w:numId w:val="3"/>
        </w:numPr>
        <w:ind w:leftChars="0" w:firstLineChars="0"/>
        <w:rPr>
          <w:rFonts w:ascii="宋体" w:hAnsi="宋体"/>
          <w:sz w:val="24"/>
          <w:highlight w:val="none"/>
        </w:rPr>
      </w:pPr>
      <w:r>
        <w:rPr>
          <w:rFonts w:hint="eastAsia" w:ascii="宋体" w:hAnsi="宋体"/>
          <w:sz w:val="24"/>
          <w:highlight w:val="none"/>
        </w:rPr>
        <w:t>合同关键条款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4" w:name="_Toc57731962"/>
      <w:bookmarkStart w:id="55" w:name="_Toc197404903"/>
      <w:bookmarkStart w:id="56" w:name="_Toc518494127"/>
      <w:r>
        <w:rPr>
          <w:rFonts w:hint="eastAsia" w:ascii="宋体" w:hAnsi="宋体"/>
          <w:b/>
          <w:kern w:val="0"/>
          <w:sz w:val="24"/>
          <w:szCs w:val="24"/>
          <w:highlight w:val="none"/>
        </w:rPr>
        <w:t>二、比选文件的补遗、澄清、修改</w:t>
      </w:r>
      <w:bookmarkEnd w:id="54"/>
      <w:bookmarkEnd w:id="55"/>
      <w:bookmarkEnd w:id="56"/>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参选人若对比选文件有疑问，需要比选人予以澄清，</w:t>
      </w:r>
      <w:r>
        <w:rPr>
          <w:rFonts w:hint="eastAsia" w:ascii="宋体" w:hAnsi="宋体"/>
          <w:kern w:val="0"/>
          <w:sz w:val="24"/>
          <w:szCs w:val="24"/>
          <w:highlight w:val="none"/>
        </w:rPr>
        <w:t>应于</w:t>
      </w:r>
      <w:r>
        <w:rPr>
          <w:rFonts w:hint="eastAsia" w:ascii="宋体" w:hAnsi="宋体"/>
          <w:b/>
          <w:kern w:val="0"/>
          <w:sz w:val="24"/>
          <w:szCs w:val="24"/>
          <w:highlight w:val="none"/>
          <w:u w:val="single"/>
        </w:rPr>
        <w:t>参选截止日</w:t>
      </w:r>
      <w:r>
        <w:rPr>
          <w:rFonts w:ascii="宋体" w:hAnsi="宋体"/>
          <w:b/>
          <w:sz w:val="24"/>
          <w:szCs w:val="24"/>
          <w:highlight w:val="none"/>
          <w:u w:val="single"/>
        </w:rPr>
        <w:t>5</w:t>
      </w:r>
      <w:r>
        <w:rPr>
          <w:rFonts w:hint="eastAsia" w:ascii="宋体" w:hAnsi="宋体"/>
          <w:b/>
          <w:sz w:val="24"/>
          <w:szCs w:val="24"/>
          <w:highlight w:val="none"/>
          <w:u w:val="single"/>
        </w:rPr>
        <w:t>日前</w:t>
      </w:r>
      <w:r>
        <w:rPr>
          <w:rFonts w:ascii="宋体" w:hAnsi="宋体"/>
          <w:sz w:val="24"/>
          <w:szCs w:val="24"/>
          <w:highlight w:val="none"/>
        </w:rPr>
        <w:t>以书面形式向比选人提出，送至比选文件</w:t>
      </w:r>
      <w:r>
        <w:rPr>
          <w:rFonts w:hint="eastAsia" w:ascii="宋体" w:hAnsi="宋体"/>
          <w:sz w:val="24"/>
          <w:szCs w:val="24"/>
          <w:highlight w:val="none"/>
        </w:rPr>
        <w:t>“致参选人”</w:t>
      </w:r>
      <w:r>
        <w:rPr>
          <w:rFonts w:ascii="宋体" w:hAnsi="宋体"/>
          <w:sz w:val="24"/>
          <w:szCs w:val="24"/>
          <w:highlight w:val="none"/>
        </w:rPr>
        <w:t>中写明的比选人地址。不论是比选人根据需要主动对比选文件进行必要的澄清或是根据参选人的要求对比选文件做出澄清，比选人</w:t>
      </w:r>
      <w:r>
        <w:rPr>
          <w:rFonts w:hint="eastAsia" w:ascii="宋体" w:hAnsi="宋体"/>
          <w:sz w:val="24"/>
          <w:szCs w:val="24"/>
          <w:highlight w:val="none"/>
        </w:rPr>
        <w:t>的</w:t>
      </w:r>
      <w:r>
        <w:rPr>
          <w:rFonts w:ascii="宋体" w:hAnsi="宋体"/>
          <w:sz w:val="24"/>
          <w:szCs w:val="24"/>
          <w:highlight w:val="none"/>
        </w:rPr>
        <w:t>补遗文件都将在</w:t>
      </w:r>
      <w:r>
        <w:rPr>
          <w:rFonts w:hint="eastAsia" w:ascii="宋体" w:hAnsi="宋体"/>
          <w:b/>
          <w:kern w:val="0"/>
          <w:sz w:val="24"/>
          <w:szCs w:val="24"/>
          <w:highlight w:val="none"/>
          <w:u w:val="single"/>
        </w:rPr>
        <w:t>参选截止日3</w:t>
      </w:r>
      <w:r>
        <w:rPr>
          <w:rFonts w:ascii="宋体" w:hAnsi="宋体"/>
          <w:b/>
          <w:kern w:val="0"/>
          <w:sz w:val="24"/>
          <w:szCs w:val="24"/>
          <w:highlight w:val="none"/>
          <w:u w:val="single"/>
        </w:rPr>
        <w:t>日</w:t>
      </w:r>
      <w:r>
        <w:rPr>
          <w:rFonts w:hint="eastAsia" w:ascii="宋体" w:hAnsi="宋体"/>
          <w:b/>
          <w:kern w:val="0"/>
          <w:sz w:val="24"/>
          <w:szCs w:val="24"/>
          <w:highlight w:val="none"/>
          <w:u w:val="single"/>
        </w:rPr>
        <w:t>前</w:t>
      </w:r>
      <w:r>
        <w:rPr>
          <w:rFonts w:hint="eastAsia" w:ascii="宋体" w:hAnsi="宋体"/>
          <w:sz w:val="24"/>
          <w:szCs w:val="24"/>
          <w:highlight w:val="none"/>
        </w:rPr>
        <w:t>“</w:t>
      </w:r>
      <w:r>
        <w:rPr>
          <w:rFonts w:ascii="宋体" w:hAnsi="宋体"/>
          <w:sz w:val="24"/>
          <w:szCs w:val="24"/>
          <w:highlight w:val="none"/>
        </w:rPr>
        <w:t>深圳地铁官网”、</w:t>
      </w:r>
      <w:r>
        <w:rPr>
          <w:rFonts w:hint="eastAsia" w:ascii="宋体" w:hAnsi="宋体"/>
          <w:sz w:val="24"/>
          <w:szCs w:val="24"/>
          <w:highlight w:val="none"/>
        </w:rPr>
        <w:t xml:space="preserve"> </w:t>
      </w:r>
      <w:r>
        <w:rPr>
          <w:rFonts w:hint="eastAsia" w:ascii="宋体" w:hAnsi="宋体"/>
          <w:sz w:val="24"/>
          <w:szCs w:val="24"/>
          <w:highlight w:val="none"/>
          <w:lang w:eastAsia="zh-CN"/>
        </w:rPr>
        <w:t>“</w:t>
      </w:r>
      <w:r>
        <w:rPr>
          <w:rFonts w:hint="eastAsia" w:ascii="宋体" w:hAnsi="宋体" w:cs="宋体"/>
          <w:bCs/>
          <w:kern w:val="2"/>
          <w:sz w:val="21"/>
          <w:szCs w:val="21"/>
          <w:highlight w:val="none"/>
          <w:lang w:val="en-US" w:eastAsia="zh-CN"/>
        </w:rPr>
        <w:t>深铁招采网</w:t>
      </w:r>
      <w:r>
        <w:rPr>
          <w:rFonts w:hint="eastAsia" w:ascii="宋体" w:hAnsi="宋体"/>
          <w:sz w:val="24"/>
          <w:szCs w:val="24"/>
          <w:highlight w:val="none"/>
          <w:lang w:eastAsia="zh-CN"/>
        </w:rPr>
        <w:t>”</w:t>
      </w:r>
      <w:r>
        <w:rPr>
          <w:rFonts w:hint="eastAsia" w:ascii="宋体" w:hAnsi="宋体" w:cs="宋体"/>
          <w:bCs/>
          <w:kern w:val="2"/>
          <w:sz w:val="21"/>
          <w:szCs w:val="21"/>
          <w:highlight w:val="none"/>
          <w:lang w:val="en-US" w:eastAsia="zh-CN"/>
        </w:rPr>
        <w:t>、</w:t>
      </w:r>
      <w:r>
        <w:rPr>
          <w:rFonts w:hint="eastAsia" w:ascii="宋体" w:hAnsi="宋体"/>
          <w:sz w:val="24"/>
          <w:szCs w:val="24"/>
          <w:highlight w:val="none"/>
        </w:rPr>
        <w:t>“</w:t>
      </w:r>
      <w:r>
        <w:rPr>
          <w:rFonts w:ascii="宋体" w:hAnsi="宋体"/>
          <w:sz w:val="24"/>
          <w:szCs w:val="24"/>
          <w:highlight w:val="none"/>
        </w:rPr>
        <w:t>国资委阳光采购平台”</w:t>
      </w:r>
      <w:r>
        <w:rPr>
          <w:rFonts w:hint="eastAsia" w:ascii="宋体" w:hAnsi="宋体"/>
          <w:sz w:val="24"/>
          <w:szCs w:val="24"/>
          <w:highlight w:val="none"/>
        </w:rPr>
        <w:t>、 “</w:t>
      </w:r>
      <w:r>
        <w:rPr>
          <w:rFonts w:ascii="宋体" w:hAnsi="宋体"/>
          <w:sz w:val="24"/>
          <w:szCs w:val="24"/>
          <w:highlight w:val="none"/>
        </w:rPr>
        <w:t>深铁置业微信订阅号</w:t>
      </w:r>
      <w:r>
        <w:rPr>
          <w:rFonts w:hint="eastAsia" w:ascii="宋体" w:hAnsi="宋体"/>
          <w:sz w:val="24"/>
          <w:szCs w:val="24"/>
          <w:highlight w:val="none"/>
        </w:rPr>
        <w:t>”</w:t>
      </w:r>
      <w:r>
        <w:rPr>
          <w:rFonts w:ascii="宋体" w:hAnsi="宋体"/>
          <w:sz w:val="24"/>
          <w:szCs w:val="24"/>
          <w:highlight w:val="none"/>
        </w:rPr>
        <w:t>向所有</w:t>
      </w:r>
      <w:r>
        <w:rPr>
          <w:rFonts w:hint="eastAsia" w:ascii="宋体" w:hAnsi="宋体"/>
          <w:sz w:val="24"/>
          <w:szCs w:val="24"/>
          <w:highlight w:val="none"/>
        </w:rPr>
        <w:t>参选</w:t>
      </w:r>
      <w:r>
        <w:rPr>
          <w:rFonts w:ascii="宋体" w:hAnsi="宋体"/>
          <w:sz w:val="24"/>
          <w:szCs w:val="24"/>
          <w:highlight w:val="none"/>
        </w:rPr>
        <w:t>人公示。比选文件的</w:t>
      </w:r>
      <w:r>
        <w:rPr>
          <w:rFonts w:hint="eastAsia" w:ascii="宋体" w:hAnsi="宋体"/>
          <w:sz w:val="24"/>
          <w:szCs w:val="24"/>
          <w:highlight w:val="none"/>
        </w:rPr>
        <w:t>补遗</w:t>
      </w:r>
      <w:r>
        <w:rPr>
          <w:rFonts w:ascii="宋体" w:hAnsi="宋体"/>
          <w:sz w:val="24"/>
          <w:szCs w:val="24"/>
          <w:highlight w:val="none"/>
        </w:rPr>
        <w:t>作为比选文件的组成部分，具有约束力。</w:t>
      </w:r>
      <w:r>
        <w:rPr>
          <w:rFonts w:hint="eastAsia" w:ascii="宋体" w:hAnsi="宋体"/>
          <w:sz w:val="24"/>
          <w:szCs w:val="24"/>
          <w:highlight w:val="none"/>
        </w:rPr>
        <w:t>参选</w:t>
      </w:r>
      <w:r>
        <w:rPr>
          <w:rFonts w:ascii="宋体" w:hAnsi="宋体"/>
          <w:sz w:val="24"/>
          <w:szCs w:val="24"/>
          <w:highlight w:val="none"/>
        </w:rPr>
        <w:t>人应随时查看</w:t>
      </w:r>
      <w:r>
        <w:rPr>
          <w:rFonts w:hint="eastAsia" w:ascii="宋体" w:hAnsi="宋体"/>
          <w:sz w:val="24"/>
          <w:szCs w:val="24"/>
          <w:highlight w:val="none"/>
        </w:rPr>
        <w:t>“</w:t>
      </w:r>
      <w:r>
        <w:rPr>
          <w:rFonts w:ascii="宋体" w:hAnsi="宋体"/>
          <w:sz w:val="24"/>
          <w:szCs w:val="24"/>
          <w:highlight w:val="none"/>
        </w:rPr>
        <w:t>深圳地铁官网”、</w:t>
      </w:r>
      <w:r>
        <w:rPr>
          <w:rFonts w:hint="eastAsia" w:ascii="宋体" w:hAnsi="宋体"/>
          <w:sz w:val="24"/>
          <w:szCs w:val="24"/>
          <w:highlight w:val="none"/>
        </w:rPr>
        <w:t xml:space="preserve"> </w:t>
      </w:r>
      <w:r>
        <w:rPr>
          <w:rFonts w:hint="eastAsia" w:ascii="宋体" w:hAnsi="宋体" w:cs="宋体"/>
          <w:bCs/>
          <w:kern w:val="2"/>
          <w:sz w:val="21"/>
          <w:szCs w:val="21"/>
          <w:highlight w:val="none"/>
          <w:lang w:val="en-US" w:eastAsia="zh-CN"/>
        </w:rPr>
        <w:t>“深铁招采网”、</w:t>
      </w:r>
      <w:r>
        <w:rPr>
          <w:rFonts w:hint="eastAsia" w:ascii="宋体" w:hAnsi="宋体"/>
          <w:sz w:val="24"/>
          <w:szCs w:val="24"/>
          <w:highlight w:val="none"/>
        </w:rPr>
        <w:t>“</w:t>
      </w:r>
      <w:r>
        <w:rPr>
          <w:rFonts w:ascii="宋体" w:hAnsi="宋体"/>
          <w:sz w:val="24"/>
          <w:szCs w:val="24"/>
          <w:highlight w:val="none"/>
        </w:rPr>
        <w:t>国资委阳光采购平台</w:t>
      </w:r>
      <w:r>
        <w:rPr>
          <w:rFonts w:hint="eastAsia" w:ascii="宋体" w:hAnsi="宋体"/>
          <w:sz w:val="24"/>
          <w:szCs w:val="24"/>
          <w:highlight w:val="none"/>
        </w:rPr>
        <w:t>”、“</w:t>
      </w:r>
      <w:r>
        <w:rPr>
          <w:rFonts w:ascii="宋体" w:hAnsi="宋体"/>
          <w:sz w:val="24"/>
          <w:szCs w:val="24"/>
          <w:highlight w:val="none"/>
        </w:rPr>
        <w:t>深铁置业微信订阅号</w:t>
      </w:r>
      <w:r>
        <w:rPr>
          <w:rFonts w:hint="eastAsia" w:ascii="宋体" w:hAnsi="宋体"/>
          <w:sz w:val="24"/>
          <w:szCs w:val="24"/>
          <w:highlight w:val="none"/>
        </w:rPr>
        <w:t>”中</w:t>
      </w:r>
      <w:r>
        <w:rPr>
          <w:rFonts w:ascii="宋体" w:hAnsi="宋体"/>
          <w:sz w:val="24"/>
          <w:szCs w:val="24"/>
          <w:highlight w:val="none"/>
        </w:rPr>
        <w:t>有关该项目补遗文件的信息</w:t>
      </w:r>
      <w:r>
        <w:rPr>
          <w:rFonts w:hint="eastAsia" w:ascii="宋体" w:hAnsi="宋体"/>
          <w:sz w:val="24"/>
          <w:szCs w:val="24"/>
          <w:highlight w:val="none"/>
        </w:rPr>
        <w:t>。否则，</w:t>
      </w:r>
      <w:r>
        <w:rPr>
          <w:rFonts w:ascii="宋体" w:hAnsi="宋体"/>
          <w:sz w:val="24"/>
          <w:szCs w:val="24"/>
          <w:highlight w:val="none"/>
        </w:rPr>
        <w:t>由此导致的不利后果由</w:t>
      </w:r>
      <w:r>
        <w:rPr>
          <w:rFonts w:hint="eastAsia" w:ascii="宋体" w:hAnsi="宋体"/>
          <w:sz w:val="24"/>
          <w:szCs w:val="24"/>
          <w:highlight w:val="none"/>
        </w:rPr>
        <w:t>参</w:t>
      </w:r>
      <w:r>
        <w:rPr>
          <w:rFonts w:ascii="宋体" w:hAnsi="宋体"/>
          <w:sz w:val="24"/>
          <w:szCs w:val="24"/>
          <w:highlight w:val="none"/>
        </w:rPr>
        <w:t>选人自负。比选文件的</w:t>
      </w:r>
      <w:r>
        <w:rPr>
          <w:rFonts w:hint="eastAsia" w:ascii="宋体" w:hAnsi="宋体"/>
          <w:sz w:val="24"/>
          <w:szCs w:val="24"/>
          <w:highlight w:val="none"/>
        </w:rPr>
        <w:t>补遗</w:t>
      </w:r>
      <w:r>
        <w:rPr>
          <w:rFonts w:ascii="宋体" w:hAnsi="宋体"/>
          <w:sz w:val="24"/>
          <w:szCs w:val="24"/>
          <w:highlight w:val="none"/>
        </w:rPr>
        <w:t>作为比选文件的组成部分，具有约束力。</w:t>
      </w:r>
    </w:p>
    <w:p>
      <w:pPr>
        <w:spacing w:line="360" w:lineRule="auto"/>
        <w:ind w:firstLine="480" w:firstLineChars="200"/>
        <w:rPr>
          <w:rFonts w:ascii="宋体" w:hAnsi="宋体"/>
          <w:sz w:val="24"/>
          <w:highlight w:val="none"/>
        </w:rPr>
      </w:pPr>
      <w:r>
        <w:rPr>
          <w:rFonts w:hint="eastAsia" w:ascii="宋体" w:hAnsi="宋体"/>
          <w:sz w:val="24"/>
          <w:szCs w:val="24"/>
          <w:highlight w:val="none"/>
        </w:rPr>
        <w:t>2、</w:t>
      </w:r>
      <w:r>
        <w:rPr>
          <w:rFonts w:hint="eastAsia" w:ascii="宋体" w:hAnsi="宋体"/>
          <w:sz w:val="24"/>
          <w:highlight w:val="none"/>
        </w:rPr>
        <w:t>比选人对在</w:t>
      </w:r>
      <w:r>
        <w:rPr>
          <w:rFonts w:hint="eastAsia" w:ascii="宋体" w:hAnsi="宋体"/>
          <w:b/>
          <w:kern w:val="0"/>
          <w:sz w:val="24"/>
          <w:szCs w:val="24"/>
          <w:highlight w:val="none"/>
          <w:u w:val="single"/>
        </w:rPr>
        <w:t>参选截止日</w:t>
      </w:r>
      <w:r>
        <w:rPr>
          <w:rFonts w:ascii="宋体" w:hAnsi="宋体"/>
          <w:b/>
          <w:sz w:val="24"/>
          <w:szCs w:val="24"/>
          <w:highlight w:val="none"/>
          <w:u w:val="single"/>
        </w:rPr>
        <w:t>5</w:t>
      </w:r>
      <w:r>
        <w:rPr>
          <w:rFonts w:hint="eastAsia" w:ascii="宋体" w:hAnsi="宋体"/>
          <w:b/>
          <w:sz w:val="24"/>
          <w:szCs w:val="24"/>
          <w:highlight w:val="none"/>
          <w:u w:val="single"/>
        </w:rPr>
        <w:t>日</w:t>
      </w:r>
      <w:r>
        <w:rPr>
          <w:rFonts w:hint="eastAsia" w:ascii="宋体" w:hAnsi="宋体"/>
          <w:b/>
          <w:kern w:val="0"/>
          <w:sz w:val="24"/>
          <w:szCs w:val="24"/>
          <w:highlight w:val="none"/>
          <w:u w:val="single"/>
        </w:rPr>
        <w:t>前</w:t>
      </w:r>
      <w:r>
        <w:rPr>
          <w:rFonts w:hint="eastAsia" w:ascii="宋体" w:hAnsi="宋体"/>
          <w:sz w:val="24"/>
          <w:highlight w:val="none"/>
        </w:rPr>
        <w:t>收到的以书面函件的方式要求澄清的问题，将视具体情况进行澄清，比选人的澄清将</w:t>
      </w:r>
      <w:r>
        <w:rPr>
          <w:rFonts w:hint="eastAsia" w:ascii="宋体" w:hAnsi="宋体"/>
          <w:kern w:val="0"/>
          <w:sz w:val="24"/>
          <w:szCs w:val="24"/>
          <w:highlight w:val="none"/>
          <w:u w:val="single"/>
        </w:rPr>
        <w:t>通</w:t>
      </w:r>
      <w:r>
        <w:rPr>
          <w:rFonts w:hint="eastAsia" w:ascii="宋体" w:hAnsi="宋体"/>
          <w:sz w:val="24"/>
          <w:szCs w:val="24"/>
          <w:highlight w:val="none"/>
        </w:rPr>
        <w:t>过“</w:t>
      </w:r>
      <w:r>
        <w:rPr>
          <w:rFonts w:ascii="宋体" w:hAnsi="宋体"/>
          <w:sz w:val="24"/>
          <w:szCs w:val="24"/>
          <w:highlight w:val="none"/>
        </w:rPr>
        <w:t>深圳地铁官网”、</w:t>
      </w:r>
      <w:r>
        <w:rPr>
          <w:rFonts w:hint="eastAsia" w:ascii="宋体" w:hAnsi="宋体"/>
          <w:sz w:val="24"/>
          <w:szCs w:val="24"/>
          <w:highlight w:val="none"/>
        </w:rPr>
        <w:t>“</w:t>
      </w:r>
      <w:r>
        <w:rPr>
          <w:rFonts w:ascii="宋体" w:hAnsi="宋体"/>
          <w:sz w:val="24"/>
          <w:szCs w:val="24"/>
          <w:highlight w:val="none"/>
        </w:rPr>
        <w:t>国资委阳光采购平台</w:t>
      </w:r>
      <w:r>
        <w:rPr>
          <w:rFonts w:hint="eastAsia" w:ascii="宋体" w:hAnsi="宋体"/>
          <w:sz w:val="24"/>
          <w:szCs w:val="24"/>
          <w:highlight w:val="none"/>
        </w:rPr>
        <w:t>”、“</w:t>
      </w:r>
      <w:r>
        <w:rPr>
          <w:rFonts w:ascii="宋体" w:hAnsi="宋体"/>
          <w:sz w:val="24"/>
          <w:szCs w:val="24"/>
          <w:highlight w:val="none"/>
        </w:rPr>
        <w:t>深铁置业微信订阅号</w:t>
      </w:r>
      <w:r>
        <w:rPr>
          <w:rFonts w:hint="eastAsia" w:ascii="宋体" w:hAnsi="宋体"/>
          <w:sz w:val="24"/>
          <w:szCs w:val="24"/>
          <w:highlight w:val="none"/>
        </w:rPr>
        <w:t>”</w:t>
      </w:r>
      <w:r>
        <w:rPr>
          <w:rFonts w:ascii="宋体" w:hAnsi="宋体"/>
          <w:sz w:val="24"/>
          <w:szCs w:val="24"/>
          <w:highlight w:val="none"/>
        </w:rPr>
        <w:t>向所有</w:t>
      </w:r>
      <w:r>
        <w:rPr>
          <w:rFonts w:hint="eastAsia" w:ascii="宋体" w:hAnsi="宋体"/>
          <w:sz w:val="24"/>
          <w:szCs w:val="24"/>
          <w:highlight w:val="none"/>
        </w:rPr>
        <w:t>参选</w:t>
      </w:r>
      <w:r>
        <w:rPr>
          <w:rFonts w:ascii="宋体" w:hAnsi="宋体"/>
          <w:sz w:val="24"/>
          <w:szCs w:val="24"/>
          <w:highlight w:val="none"/>
        </w:rPr>
        <w:t>人公示。</w:t>
      </w:r>
      <w:r>
        <w:rPr>
          <w:rFonts w:hint="eastAsia" w:ascii="宋体" w:hAnsi="宋体"/>
          <w:sz w:val="24"/>
          <w:highlight w:val="none"/>
        </w:rPr>
        <w:t>如比选人认为参选人所提出的问题已在比选文件中明确说明，或可以根据比选文件做出明确的推断，比选人将不再予以澄清。</w:t>
      </w:r>
    </w:p>
    <w:p>
      <w:pPr>
        <w:spacing w:line="360" w:lineRule="auto"/>
        <w:rPr>
          <w:rFonts w:ascii="宋体" w:hAnsi="宋体"/>
          <w:sz w:val="24"/>
          <w:szCs w:val="24"/>
          <w:highlight w:val="none"/>
        </w:rPr>
      </w:pPr>
      <w:r>
        <w:rPr>
          <w:rFonts w:hint="eastAsia" w:ascii="宋体" w:hAnsi="宋体"/>
          <w:sz w:val="24"/>
          <w:highlight w:val="none"/>
        </w:rPr>
        <w:t xml:space="preserve">    3、</w:t>
      </w:r>
      <w:r>
        <w:rPr>
          <w:rFonts w:ascii="宋体" w:hAnsi="宋体"/>
          <w:sz w:val="24"/>
          <w:szCs w:val="24"/>
          <w:highlight w:val="none"/>
        </w:rPr>
        <w:t>比选文件发出后，在</w:t>
      </w:r>
      <w:r>
        <w:rPr>
          <w:rFonts w:hint="eastAsia" w:ascii="宋体" w:hAnsi="宋体"/>
          <w:b/>
          <w:kern w:val="0"/>
          <w:sz w:val="24"/>
          <w:szCs w:val="24"/>
          <w:highlight w:val="none"/>
          <w:u w:val="single"/>
        </w:rPr>
        <w:t>参选截止日</w:t>
      </w:r>
      <w:r>
        <w:rPr>
          <w:rFonts w:ascii="宋体" w:hAnsi="宋体"/>
          <w:b/>
          <w:kern w:val="0"/>
          <w:sz w:val="24"/>
          <w:szCs w:val="24"/>
          <w:highlight w:val="none"/>
          <w:u w:val="single"/>
        </w:rPr>
        <w:t>5日</w:t>
      </w:r>
      <w:r>
        <w:rPr>
          <w:rFonts w:hint="eastAsia" w:ascii="宋体" w:hAnsi="宋体"/>
          <w:b/>
          <w:kern w:val="0"/>
          <w:sz w:val="24"/>
          <w:szCs w:val="24"/>
          <w:highlight w:val="none"/>
          <w:u w:val="single"/>
        </w:rPr>
        <w:t>前</w:t>
      </w:r>
      <w:r>
        <w:rPr>
          <w:rFonts w:ascii="宋体" w:hAnsi="宋体"/>
          <w:sz w:val="24"/>
          <w:szCs w:val="24"/>
          <w:highlight w:val="none"/>
        </w:rPr>
        <w:t>的任何时候，确需要变更比选文件内容的，比选人可主动或在解答参选人提出的澄清问题时对比选文件进行修改。</w:t>
      </w:r>
    </w:p>
    <w:p>
      <w:pPr>
        <w:spacing w:line="360" w:lineRule="auto"/>
        <w:rPr>
          <w:rFonts w:ascii="宋体" w:hAnsi="宋体"/>
          <w:sz w:val="28"/>
          <w:highlight w:val="none"/>
        </w:rPr>
      </w:pPr>
      <w:r>
        <w:rPr>
          <w:rFonts w:hint="eastAsia" w:ascii="宋体" w:hAnsi="宋体"/>
          <w:sz w:val="24"/>
          <w:szCs w:val="24"/>
          <w:highlight w:val="none"/>
        </w:rPr>
        <w:t xml:space="preserve">    4、</w:t>
      </w:r>
      <w:r>
        <w:rPr>
          <w:rFonts w:ascii="宋体" w:hAnsi="宋体"/>
          <w:sz w:val="24"/>
          <w:szCs w:val="24"/>
          <w:highlight w:val="none"/>
        </w:rPr>
        <w:t>比选文件、比选文件</w:t>
      </w:r>
      <w:r>
        <w:rPr>
          <w:rFonts w:hint="eastAsia" w:ascii="宋体" w:hAnsi="宋体"/>
          <w:sz w:val="24"/>
          <w:szCs w:val="24"/>
          <w:highlight w:val="none"/>
        </w:rPr>
        <w:t>补遗、</w:t>
      </w:r>
      <w:r>
        <w:rPr>
          <w:rFonts w:ascii="宋体" w:hAnsi="宋体"/>
          <w:sz w:val="24"/>
          <w:szCs w:val="24"/>
          <w:highlight w:val="none"/>
        </w:rPr>
        <w:t>澄清(答疑)、澄清(答疑</w:t>
      </w:r>
      <w:r>
        <w:rPr>
          <w:rFonts w:hint="eastAsia" w:ascii="宋体" w:hAnsi="宋体"/>
          <w:sz w:val="24"/>
          <w:szCs w:val="24"/>
          <w:highlight w:val="none"/>
        </w:rPr>
        <w:t>)会议纪要、</w:t>
      </w:r>
      <w:r>
        <w:rPr>
          <w:rFonts w:ascii="宋体" w:hAnsi="宋体"/>
          <w:sz w:val="24"/>
          <w:szCs w:val="24"/>
          <w:highlight w:val="none"/>
        </w:rPr>
        <w:t>修改(补充)函件内容均以书面明确的内容为准。当比选文件、</w:t>
      </w:r>
      <w:r>
        <w:rPr>
          <w:rFonts w:hint="eastAsia" w:ascii="宋体" w:hAnsi="宋体"/>
          <w:sz w:val="24"/>
          <w:szCs w:val="24"/>
          <w:highlight w:val="none"/>
        </w:rPr>
        <w:t>补遗、</w:t>
      </w:r>
      <w:r>
        <w:rPr>
          <w:rFonts w:ascii="宋体" w:hAnsi="宋体"/>
          <w:sz w:val="24"/>
          <w:szCs w:val="24"/>
          <w:highlight w:val="none"/>
        </w:rPr>
        <w:t>澄清(答疑)</w:t>
      </w:r>
      <w:r>
        <w:rPr>
          <w:rFonts w:hint="eastAsia" w:ascii="宋体" w:hAnsi="宋体"/>
          <w:sz w:val="24"/>
          <w:szCs w:val="24"/>
          <w:highlight w:val="none"/>
        </w:rPr>
        <w:t>、</w:t>
      </w:r>
      <w:r>
        <w:rPr>
          <w:rFonts w:ascii="宋体" w:hAnsi="宋体"/>
          <w:sz w:val="24"/>
          <w:szCs w:val="24"/>
          <w:highlight w:val="none"/>
        </w:rPr>
        <w:t>纪要、修改(补充)函件内容相互矛盾时，以最后发出的为准。</w:t>
      </w:r>
    </w:p>
    <w:p>
      <w:pPr>
        <w:spacing w:line="360" w:lineRule="auto"/>
        <w:ind w:firstLine="480"/>
        <w:rPr>
          <w:rFonts w:hint="eastAsia" w:ascii="宋体" w:hAnsi="宋体"/>
          <w:sz w:val="24"/>
          <w:szCs w:val="24"/>
          <w:highlight w:val="none"/>
        </w:rPr>
      </w:pPr>
      <w:r>
        <w:rPr>
          <w:rFonts w:hint="eastAsia" w:ascii="宋体" w:hAnsi="宋体"/>
          <w:sz w:val="24"/>
          <w:szCs w:val="24"/>
          <w:highlight w:val="none"/>
        </w:rPr>
        <w:t>5、</w:t>
      </w:r>
      <w:r>
        <w:rPr>
          <w:rFonts w:ascii="宋体" w:hAnsi="宋体"/>
          <w:sz w:val="24"/>
          <w:szCs w:val="24"/>
          <w:highlight w:val="none"/>
        </w:rPr>
        <w:t>为使参选人在编写参选文件时有充分时间对比选文件的</w:t>
      </w:r>
      <w:r>
        <w:rPr>
          <w:rFonts w:hint="eastAsia" w:ascii="宋体" w:hAnsi="宋体"/>
          <w:sz w:val="24"/>
          <w:szCs w:val="24"/>
          <w:highlight w:val="none"/>
        </w:rPr>
        <w:t>补遗、</w:t>
      </w:r>
      <w:r>
        <w:rPr>
          <w:rFonts w:ascii="宋体" w:hAnsi="宋体"/>
          <w:sz w:val="24"/>
          <w:szCs w:val="24"/>
          <w:highlight w:val="none"/>
        </w:rPr>
        <w:t>修改（补充）部分进行研究，比选人</w:t>
      </w:r>
      <w:r>
        <w:rPr>
          <w:rFonts w:hint="eastAsia" w:ascii="宋体" w:hAnsi="宋体"/>
          <w:sz w:val="24"/>
          <w:szCs w:val="24"/>
          <w:highlight w:val="none"/>
        </w:rPr>
        <w:t>有权</w:t>
      </w:r>
      <w:r>
        <w:rPr>
          <w:rFonts w:ascii="宋体" w:hAnsi="宋体"/>
          <w:sz w:val="24"/>
          <w:szCs w:val="24"/>
          <w:highlight w:val="none"/>
        </w:rPr>
        <w:t>适当延长递交参选文件的截止日期。</w:t>
      </w:r>
    </w:p>
    <w:p>
      <w:pPr>
        <w:pStyle w:val="5"/>
        <w:spacing w:after="0" w:line="360" w:lineRule="auto"/>
        <w:rPr>
          <w:rFonts w:ascii="宋体" w:hAnsi="宋体" w:eastAsia="宋体"/>
          <w:b/>
          <w:szCs w:val="28"/>
          <w:highlight w:val="none"/>
        </w:rPr>
      </w:pPr>
      <w:bookmarkStart w:id="57" w:name="_Toc57731963"/>
      <w:bookmarkStart w:id="58" w:name="_Toc518494128"/>
      <w:r>
        <w:rPr>
          <w:rFonts w:hint="eastAsia" w:ascii="宋体" w:hAnsi="宋体" w:eastAsia="宋体"/>
          <w:b/>
          <w:szCs w:val="28"/>
          <w:highlight w:val="none"/>
        </w:rPr>
        <w:t>第三章  参选文件的编写</w:t>
      </w:r>
      <w:bookmarkEnd w:id="57"/>
      <w:bookmarkEnd w:id="58"/>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9" w:name="_Toc57731964"/>
      <w:bookmarkStart w:id="60" w:name="_Toc518494129"/>
      <w:bookmarkStart w:id="61" w:name="_Toc197404905"/>
      <w:r>
        <w:rPr>
          <w:rFonts w:hint="eastAsia" w:ascii="宋体" w:hAnsi="宋体"/>
          <w:b/>
          <w:kern w:val="0"/>
          <w:sz w:val="24"/>
          <w:szCs w:val="24"/>
          <w:highlight w:val="none"/>
        </w:rPr>
        <w:t>一、参选文件的组成及要求</w:t>
      </w:r>
      <w:bookmarkEnd w:id="59"/>
      <w:bookmarkEnd w:id="60"/>
      <w:bookmarkEnd w:id="61"/>
    </w:p>
    <w:p>
      <w:pPr>
        <w:pStyle w:val="3"/>
        <w:tabs>
          <w:tab w:val="left" w:pos="945"/>
          <w:tab w:val="left" w:pos="1275"/>
        </w:tabs>
        <w:snapToGrid w:val="0"/>
        <w:ind w:left="0" w:leftChars="0" w:firstLine="480" w:firstLineChars="200"/>
        <w:jc w:val="left"/>
        <w:rPr>
          <w:rFonts w:ascii="宋体" w:hAnsi="宋体"/>
          <w:sz w:val="24"/>
          <w:highlight w:val="none"/>
        </w:rPr>
      </w:pPr>
      <w:r>
        <w:rPr>
          <w:rFonts w:hint="eastAsia" w:ascii="宋体" w:hAnsi="宋体"/>
          <w:sz w:val="24"/>
          <w:szCs w:val="21"/>
          <w:highlight w:val="none"/>
        </w:rPr>
        <w:t>参选人应仔细阅读比选文件的所有内容，按要求提供参选文件，并保证所提供的全部资料的真实性。</w:t>
      </w:r>
    </w:p>
    <w:p>
      <w:pPr>
        <w:pStyle w:val="3"/>
        <w:tabs>
          <w:tab w:val="left" w:pos="945"/>
          <w:tab w:val="left" w:pos="1275"/>
        </w:tabs>
        <w:snapToGrid w:val="0"/>
        <w:ind w:left="480" w:leftChars="0" w:firstLine="0" w:firstLineChars="0"/>
        <w:jc w:val="left"/>
        <w:rPr>
          <w:rFonts w:ascii="宋体" w:hAnsi="宋体"/>
          <w:sz w:val="24"/>
          <w:highlight w:val="none"/>
        </w:rPr>
      </w:pPr>
      <w:r>
        <w:rPr>
          <w:rFonts w:hint="eastAsia" w:ascii="宋体" w:hAnsi="宋体"/>
          <w:sz w:val="24"/>
          <w:highlight w:val="none"/>
        </w:rPr>
        <w:t>参选文件格式要求：参选文件采用中文编写，A4纸印刷。</w:t>
      </w:r>
    </w:p>
    <w:p>
      <w:pPr>
        <w:pStyle w:val="3"/>
        <w:tabs>
          <w:tab w:val="left" w:pos="945"/>
          <w:tab w:val="left" w:pos="1275"/>
        </w:tabs>
        <w:snapToGrid w:val="0"/>
        <w:ind w:left="0" w:leftChars="0" w:firstLine="480" w:firstLineChars="200"/>
        <w:jc w:val="left"/>
        <w:rPr>
          <w:rFonts w:ascii="宋体" w:hAnsi="宋体"/>
          <w:sz w:val="24"/>
          <w:highlight w:val="none"/>
        </w:rPr>
      </w:pPr>
      <w:r>
        <w:rPr>
          <w:rFonts w:hint="eastAsia" w:ascii="宋体" w:hAnsi="宋体"/>
          <w:sz w:val="24"/>
          <w:highlight w:val="none"/>
        </w:rPr>
        <w:t>参选文件</w:t>
      </w:r>
      <w:r>
        <w:rPr>
          <w:rFonts w:hint="eastAsia" w:ascii="宋体" w:hAnsi="宋体"/>
          <w:sz w:val="24"/>
          <w:szCs w:val="21"/>
          <w:highlight w:val="none"/>
        </w:rPr>
        <w:t>按照“技术标书”、“商务标书”分别装订成两册，</w:t>
      </w:r>
      <w:r>
        <w:rPr>
          <w:rFonts w:ascii="宋体" w:hAnsi="宋体"/>
          <w:sz w:val="24"/>
          <w:szCs w:val="21"/>
          <w:highlight w:val="none"/>
        </w:rPr>
        <w:t>密封包装</w:t>
      </w:r>
      <w:r>
        <w:rPr>
          <w:rFonts w:hint="eastAsia" w:ascii="宋体" w:hAnsi="宋体"/>
          <w:sz w:val="24"/>
          <w:highlight w:val="none"/>
        </w:rPr>
        <w:t>。</w:t>
      </w:r>
    </w:p>
    <w:p>
      <w:pPr>
        <w:keepNext/>
        <w:keepLines/>
        <w:tabs>
          <w:tab w:val="left" w:pos="1260"/>
        </w:tabs>
        <w:adjustRightInd w:val="0"/>
        <w:spacing w:line="360" w:lineRule="auto"/>
        <w:ind w:firstLine="482" w:firstLineChars="200"/>
        <w:textAlignment w:val="baseline"/>
        <w:outlineLvl w:val="2"/>
        <w:rPr>
          <w:rFonts w:hint="eastAsia" w:ascii="宋体" w:hAnsi="宋体"/>
          <w:b/>
          <w:kern w:val="0"/>
          <w:sz w:val="24"/>
          <w:szCs w:val="24"/>
          <w:highlight w:val="none"/>
        </w:rPr>
      </w:pPr>
      <w:bookmarkStart w:id="62" w:name="_Toc197404906"/>
      <w:bookmarkStart w:id="63" w:name="_Toc57731965"/>
      <w:bookmarkStart w:id="64" w:name="_Toc518494130"/>
      <w:r>
        <w:rPr>
          <w:rFonts w:hint="eastAsia" w:ascii="宋体" w:hAnsi="宋体"/>
          <w:b/>
          <w:kern w:val="0"/>
          <w:sz w:val="24"/>
          <w:szCs w:val="24"/>
          <w:highlight w:val="none"/>
        </w:rPr>
        <w:t>二、参选文件内容编写要求</w:t>
      </w:r>
      <w:bookmarkEnd w:id="62"/>
      <w:bookmarkEnd w:id="63"/>
      <w:bookmarkEnd w:id="64"/>
    </w:p>
    <w:p>
      <w:pPr>
        <w:pStyle w:val="3"/>
        <w:snapToGrid w:val="0"/>
        <w:ind w:left="0" w:leftChars="0" w:firstLine="480" w:firstLineChars="200"/>
        <w:rPr>
          <w:rFonts w:ascii="宋体" w:hAnsi="宋体"/>
          <w:sz w:val="24"/>
          <w:szCs w:val="24"/>
          <w:highlight w:val="none"/>
        </w:rPr>
      </w:pPr>
      <w:r>
        <w:rPr>
          <w:rFonts w:hint="eastAsia" w:ascii="宋体" w:hAnsi="宋体"/>
          <w:sz w:val="24"/>
          <w:szCs w:val="24"/>
          <w:highlight w:val="none"/>
        </w:rPr>
        <w:t>（一）技术标书的编写</w:t>
      </w:r>
    </w:p>
    <w:bookmarkEnd w:id="5"/>
    <w:p>
      <w:pPr>
        <w:snapToGrid w:val="0"/>
        <w:spacing w:line="360" w:lineRule="auto"/>
        <w:ind w:firstLine="480" w:firstLineChars="200"/>
        <w:jc w:val="left"/>
        <w:rPr>
          <w:rFonts w:ascii="宋体" w:hAnsi="宋体" w:cs="宋体"/>
          <w:sz w:val="24"/>
          <w:highlight w:val="none"/>
        </w:rPr>
      </w:pPr>
      <w:r>
        <w:rPr>
          <w:rFonts w:hint="eastAsia" w:ascii="宋体" w:hAnsi="宋体"/>
          <w:kern w:val="0"/>
          <w:sz w:val="24"/>
          <w:szCs w:val="24"/>
          <w:highlight w:val="none"/>
          <w:lang w:val="zh-CN"/>
        </w:rPr>
        <w:t>1.</w:t>
      </w:r>
      <w:r>
        <w:rPr>
          <w:rFonts w:ascii="宋体" w:hAnsi="宋体"/>
          <w:kern w:val="0"/>
          <w:sz w:val="24"/>
          <w:szCs w:val="24"/>
          <w:highlight w:val="none"/>
          <w:lang w:val="zh-CN"/>
        </w:rPr>
        <w:t>参选人应按照比选文件第二篇“参选文件格式”中技术标书部分的要求编写技术标</w:t>
      </w:r>
      <w:r>
        <w:rPr>
          <w:rFonts w:ascii="宋体" w:hAnsi="宋体"/>
          <w:kern w:val="0"/>
          <w:sz w:val="24"/>
          <w:highlight w:val="none"/>
          <w:lang w:val="zh-CN"/>
        </w:rPr>
        <w:t>书。技术标书应包括以下几个主要内容：</w:t>
      </w:r>
      <w:r>
        <w:rPr>
          <w:rFonts w:hint="eastAsia" w:ascii="宋体" w:hAnsi="宋体"/>
          <w:kern w:val="0"/>
          <w:sz w:val="24"/>
          <w:highlight w:val="none"/>
          <w:lang w:val="zh-CN"/>
        </w:rPr>
        <w:t xml:space="preserve"> </w:t>
      </w:r>
      <w:r>
        <w:rPr>
          <w:rFonts w:ascii="宋体" w:hAnsi="宋体"/>
          <w:kern w:val="0"/>
          <w:sz w:val="24"/>
          <w:highlight w:val="none"/>
          <w:lang w:val="zh-CN"/>
        </w:rPr>
        <w:t xml:space="preserve"> </w:t>
      </w:r>
    </w:p>
    <w:p>
      <w:pPr>
        <w:pStyle w:val="149"/>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w:t>
      </w:r>
      <w:r>
        <w:rPr>
          <w:rFonts w:ascii="宋体" w:hAnsi="宋体" w:eastAsia="宋体" w:cs="Times New Roman"/>
          <w:color w:val="auto"/>
          <w:highlight w:val="none"/>
          <w:lang w:val="zh-CN"/>
        </w:rPr>
        <w:t>1）</w:t>
      </w:r>
      <w:r>
        <w:rPr>
          <w:rFonts w:hint="eastAsia" w:ascii="宋体" w:hAnsi="宋体" w:eastAsia="宋体" w:cs="Times New Roman"/>
          <w:color w:val="auto"/>
          <w:highlight w:val="none"/>
          <w:lang w:val="zh-CN"/>
        </w:rPr>
        <w:t>企业法人营业执照复印件（加盖公章）</w:t>
      </w:r>
    </w:p>
    <w:p>
      <w:pPr>
        <w:pStyle w:val="149"/>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w:t>
      </w:r>
      <w:r>
        <w:rPr>
          <w:rFonts w:hint="eastAsia" w:ascii="宋体" w:hAnsi="宋体" w:eastAsia="宋体" w:cs="Times New Roman"/>
          <w:color w:val="auto"/>
          <w:highlight w:val="none"/>
          <w:lang w:val="zh-CN"/>
        </w:rPr>
        <w:t>法定代表人资格证明书</w:t>
      </w:r>
    </w:p>
    <w:p>
      <w:pPr>
        <w:pStyle w:val="149"/>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（3</w:t>
      </w:r>
      <w:r>
        <w:rPr>
          <w:rFonts w:ascii="宋体" w:hAnsi="宋体" w:eastAsia="宋体" w:cs="Times New Roman"/>
          <w:color w:val="auto"/>
          <w:highlight w:val="none"/>
          <w:lang w:val="zh-CN"/>
        </w:rPr>
        <w:t>）</w:t>
      </w:r>
      <w:r>
        <w:rPr>
          <w:rFonts w:hint="eastAsia" w:ascii="宋体" w:hAnsi="宋体" w:eastAsia="宋体" w:cs="Times New Roman"/>
          <w:color w:val="auto"/>
          <w:highlight w:val="none"/>
          <w:lang w:val="zh-CN"/>
        </w:rPr>
        <w:t>法定代表人身份证复印件</w:t>
      </w:r>
    </w:p>
    <w:p>
      <w:pPr>
        <w:pStyle w:val="149"/>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（4</w:t>
      </w:r>
      <w:r>
        <w:rPr>
          <w:rFonts w:ascii="宋体" w:hAnsi="宋体" w:eastAsia="宋体" w:cs="Times New Roman"/>
          <w:color w:val="auto"/>
          <w:highlight w:val="none"/>
          <w:lang w:val="zh-CN"/>
        </w:rPr>
        <w:t>）</w:t>
      </w:r>
      <w:r>
        <w:rPr>
          <w:rFonts w:hint="eastAsia" w:ascii="宋体" w:hAnsi="宋体" w:eastAsia="宋体" w:cs="Times New Roman"/>
          <w:color w:val="auto"/>
          <w:highlight w:val="none"/>
          <w:lang w:val="zh-CN"/>
        </w:rPr>
        <w:t>法定代表人授权委托书（如有）</w:t>
      </w:r>
    </w:p>
    <w:p>
      <w:pPr>
        <w:pStyle w:val="149"/>
        <w:spacing w:before="50" w:line="360" w:lineRule="auto"/>
        <w:ind w:firstLine="470" w:firstLineChars="196"/>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（5</w:t>
      </w:r>
      <w:r>
        <w:rPr>
          <w:rFonts w:ascii="宋体" w:hAnsi="宋体" w:eastAsia="宋体" w:cs="Times New Roman"/>
          <w:color w:val="auto"/>
          <w:highlight w:val="none"/>
          <w:lang w:val="zh-CN"/>
        </w:rPr>
        <w:t>）</w:t>
      </w:r>
      <w:r>
        <w:rPr>
          <w:rFonts w:hint="eastAsia" w:ascii="宋体" w:hAnsi="宋体" w:eastAsia="宋体" w:cs="Times New Roman"/>
          <w:color w:val="auto"/>
          <w:highlight w:val="none"/>
          <w:lang w:val="zh-CN"/>
        </w:rPr>
        <w:t>被授权人身份证复印件（如有）</w:t>
      </w:r>
    </w:p>
    <w:p>
      <w:pPr>
        <w:pStyle w:val="24"/>
        <w:ind w:firstLine="480" w:firstLineChars="200"/>
        <w:rPr>
          <w:rFonts w:hint="eastAsia" w:ascii="宋体" w:hAnsi="宋体" w:eastAsia="宋体" w:cs="Times New Roman"/>
          <w:color w:val="auto"/>
          <w:kern w:val="0"/>
          <w:sz w:val="24"/>
          <w:szCs w:val="24"/>
          <w:highlight w:val="none"/>
          <w:lang w:val="zh-CN" w:eastAsia="zh-CN" w:bidi="ar-SA"/>
        </w:rPr>
      </w:pPr>
      <w:r>
        <w:rPr>
          <w:rFonts w:hint="eastAsia" w:ascii="宋体" w:hAnsi="宋体" w:eastAsia="宋体" w:cs="Times New Roman"/>
          <w:color w:val="auto"/>
          <w:kern w:val="0"/>
          <w:sz w:val="24"/>
          <w:szCs w:val="24"/>
          <w:highlight w:val="none"/>
          <w:lang w:val="zh-CN" w:eastAsia="zh-CN" w:bidi="ar-SA"/>
        </w:rPr>
        <w:t>（6）《</w:t>
      </w:r>
      <w:r>
        <w:rPr>
          <w:rFonts w:hint="eastAsia" w:ascii="宋体" w:hAnsi="宋体" w:eastAsia="宋体" w:cs="Times New Roman"/>
          <w:color w:val="auto"/>
          <w:kern w:val="0"/>
          <w:sz w:val="24"/>
          <w:szCs w:val="24"/>
          <w:highlight w:val="none"/>
          <w:lang w:val="zh-TW" w:eastAsia="zh-TW" w:bidi="ar-SA"/>
        </w:rPr>
        <w:t>深铁瑞城系列营销活动与现场包装</w:t>
      </w:r>
      <w:r>
        <w:rPr>
          <w:rFonts w:hint="eastAsia" w:ascii="宋体" w:hAnsi="宋体" w:eastAsia="宋体" w:cs="Times New Roman"/>
          <w:color w:val="auto"/>
          <w:kern w:val="0"/>
          <w:sz w:val="24"/>
          <w:szCs w:val="24"/>
          <w:highlight w:val="none"/>
          <w:lang w:val="en-US" w:eastAsia="zh-CN" w:bidi="ar-SA"/>
        </w:rPr>
        <w:t>服务</w:t>
      </w:r>
      <w:r>
        <w:rPr>
          <w:rFonts w:hint="eastAsia" w:ascii="宋体" w:hAnsi="宋体" w:eastAsia="宋体" w:cs="Times New Roman"/>
          <w:color w:val="auto"/>
          <w:kern w:val="0"/>
          <w:sz w:val="24"/>
          <w:szCs w:val="24"/>
          <w:highlight w:val="none"/>
          <w:lang w:val="zh-TW" w:eastAsia="zh-TW" w:bidi="ar-SA"/>
        </w:rPr>
        <w:t>方案</w:t>
      </w:r>
      <w:r>
        <w:rPr>
          <w:rFonts w:hint="eastAsia" w:ascii="宋体" w:hAnsi="宋体" w:eastAsia="宋体" w:cs="Times New Roman"/>
          <w:color w:val="auto"/>
          <w:kern w:val="0"/>
          <w:sz w:val="24"/>
          <w:szCs w:val="24"/>
          <w:highlight w:val="none"/>
          <w:lang w:val="zh-CN" w:eastAsia="zh-CN" w:bidi="ar-SA"/>
        </w:rPr>
        <w:t>》</w:t>
      </w:r>
    </w:p>
    <w:p>
      <w:pPr>
        <w:pStyle w:val="149"/>
        <w:spacing w:before="50" w:line="360" w:lineRule="auto"/>
        <w:ind w:firstLine="470" w:firstLineChars="196"/>
        <w:rPr>
          <w:rFonts w:hint="eastAsia"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rPr>
        <w:t>7</w:t>
      </w:r>
      <w:r>
        <w:rPr>
          <w:rFonts w:ascii="宋体" w:hAnsi="宋体" w:eastAsia="宋体" w:cs="Times New Roman"/>
          <w:color w:val="auto"/>
          <w:highlight w:val="none"/>
          <w:lang w:val="zh-CN"/>
        </w:rPr>
        <w:t>）</w:t>
      </w: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en-US" w:eastAsia="zh-CN"/>
        </w:rPr>
        <w:t>营业执照</w:t>
      </w:r>
      <w:r>
        <w:rPr>
          <w:rFonts w:hint="eastAsia" w:ascii="宋体" w:hAnsi="宋体" w:eastAsia="宋体" w:cs="Times New Roman"/>
          <w:color w:val="auto"/>
          <w:highlight w:val="none"/>
          <w:lang w:val="zh-CN" w:eastAsia="zh-TW"/>
        </w:rPr>
        <w:t>（需盖公章）</w:t>
      </w:r>
    </w:p>
    <w:p>
      <w:pPr>
        <w:pStyle w:val="3"/>
        <w:ind w:left="0" w:leftChars="0" w:firstLine="480" w:firstLineChars="200"/>
        <w:rPr>
          <w:rFonts w:hint="eastAsia" w:ascii="宋体" w:hAnsi="宋体"/>
          <w:b/>
          <w:bCs/>
          <w:sz w:val="24"/>
          <w:szCs w:val="24"/>
          <w:highlight w:val="none"/>
          <w:lang w:val="zh-CN"/>
        </w:rPr>
      </w:pPr>
      <w:r>
        <w:rPr>
          <w:rFonts w:hint="eastAsia" w:ascii="宋体" w:hAnsi="宋体"/>
          <w:sz w:val="24"/>
          <w:szCs w:val="24"/>
          <w:highlight w:val="none"/>
          <w:lang w:val="zh-CN"/>
        </w:rPr>
        <w:t>（</w:t>
      </w:r>
      <w:r>
        <w:rPr>
          <w:rFonts w:hint="eastAsia" w:ascii="宋体" w:hAnsi="宋体" w:eastAsia="宋体" w:cs="Times New Roman"/>
          <w:color w:val="auto"/>
          <w:kern w:val="0"/>
          <w:sz w:val="24"/>
          <w:szCs w:val="24"/>
          <w:highlight w:val="none"/>
          <w:lang w:val="en-US" w:eastAsia="zh-CN" w:bidi="ar-SA"/>
        </w:rPr>
        <w:t>8</w:t>
      </w:r>
      <w:r>
        <w:rPr>
          <w:rFonts w:hint="eastAsia" w:ascii="宋体" w:hAnsi="宋体" w:eastAsia="宋体" w:cs="Times New Roman"/>
          <w:color w:val="auto"/>
          <w:kern w:val="0"/>
          <w:sz w:val="24"/>
          <w:szCs w:val="24"/>
          <w:highlight w:val="none"/>
          <w:lang w:val="zh-CN" w:eastAsia="zh-CN" w:bidi="ar-SA"/>
        </w:rPr>
        <w:t>）</w:t>
      </w:r>
      <w:r>
        <w:rPr>
          <w:rFonts w:hint="eastAsia" w:ascii="宋体" w:hAnsi="宋体" w:eastAsia="宋体" w:cs="Times New Roman"/>
          <w:b/>
          <w:bCs/>
          <w:color w:val="auto"/>
          <w:kern w:val="0"/>
          <w:sz w:val="24"/>
          <w:szCs w:val="24"/>
          <w:highlight w:val="none"/>
          <w:lang w:val="zh-CN" w:eastAsia="zh-CN" w:bidi="ar-SA"/>
        </w:rPr>
        <w:t>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证明材料均提供合同复印</w:t>
      </w:r>
      <w:r>
        <w:rPr>
          <w:rFonts w:hint="eastAsia" w:ascii="宋体" w:hAnsi="宋体"/>
          <w:b/>
          <w:bCs/>
          <w:sz w:val="24"/>
          <w:szCs w:val="24"/>
          <w:highlight w:val="none"/>
          <w:lang w:val="zh-CN"/>
        </w:rPr>
        <w:t>件，需包含合同</w:t>
      </w:r>
      <w:r>
        <w:rPr>
          <w:rFonts w:ascii="宋体" w:hAnsi="宋体"/>
          <w:b/>
          <w:bCs/>
          <w:sz w:val="24"/>
          <w:szCs w:val="24"/>
          <w:highlight w:val="none"/>
          <w:lang w:val="zh-CN"/>
        </w:rPr>
        <w:t>关键页：</w:t>
      </w:r>
      <w:r>
        <w:rPr>
          <w:rFonts w:hint="eastAsia" w:ascii="宋体" w:hAnsi="宋体"/>
          <w:b/>
          <w:bCs/>
          <w:sz w:val="24"/>
          <w:szCs w:val="24"/>
          <w:highlight w:val="none"/>
          <w:lang w:val="zh-CN"/>
        </w:rPr>
        <w:t>服务内容、服务期限、盖章签署页等内容，均需盖公章）。</w:t>
      </w:r>
    </w:p>
    <w:p>
      <w:pPr>
        <w:pStyle w:val="3"/>
        <w:ind w:left="0" w:leftChars="0" w:firstLine="600" w:firstLineChars="250"/>
        <w:rPr>
          <w:rFonts w:ascii="宋体" w:hAnsi="宋体"/>
          <w:sz w:val="24"/>
          <w:highlight w:val="none"/>
        </w:rPr>
      </w:pPr>
      <w:r>
        <w:rPr>
          <w:rFonts w:hint="eastAsia" w:ascii="宋体" w:hAnsi="宋体"/>
          <w:sz w:val="24"/>
          <w:highlight w:val="none"/>
        </w:rPr>
        <w:t>项目资料真实性及业绩由参选人负责核实，并加盖公章。若招标人查实上述信息不真实，参选人将负全责。</w:t>
      </w:r>
    </w:p>
    <w:p>
      <w:pPr>
        <w:pStyle w:val="3"/>
        <w:snapToGrid w:val="0"/>
        <w:ind w:left="0" w:leftChars="0" w:firstLine="480" w:firstLineChars="200"/>
        <w:rPr>
          <w:rFonts w:ascii="宋体" w:hAnsi="宋体"/>
          <w:color w:val="0D0D0D"/>
          <w:sz w:val="24"/>
          <w:szCs w:val="24"/>
          <w:highlight w:val="none"/>
        </w:rPr>
      </w:pPr>
      <w:r>
        <w:rPr>
          <w:rFonts w:hint="eastAsia" w:ascii="宋体" w:hAnsi="宋体"/>
          <w:color w:val="0D0D0D"/>
          <w:sz w:val="24"/>
          <w:szCs w:val="24"/>
          <w:highlight w:val="none"/>
        </w:rPr>
        <w:t>（二）商务标书的编写</w:t>
      </w:r>
    </w:p>
    <w:p>
      <w:pPr>
        <w:pStyle w:val="3"/>
        <w:snapToGrid w:val="0"/>
        <w:ind w:left="0" w:leftChars="0" w:firstLine="480" w:firstLineChars="200"/>
        <w:rPr>
          <w:rFonts w:ascii="宋体" w:hAnsi="宋体"/>
          <w:color w:val="0D0D0D"/>
          <w:sz w:val="24"/>
          <w:szCs w:val="24"/>
          <w:highlight w:val="none"/>
        </w:rPr>
      </w:pPr>
      <w:r>
        <w:rPr>
          <w:rFonts w:hint="eastAsia" w:ascii="宋体" w:hAnsi="宋体"/>
          <w:color w:val="0D0D0D"/>
          <w:sz w:val="24"/>
          <w:szCs w:val="24"/>
          <w:highlight w:val="none"/>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highlight w:val="none"/>
        </w:rPr>
      </w:pPr>
      <w:r>
        <w:rPr>
          <w:rFonts w:hint="eastAsia" w:ascii="宋体" w:hAnsi="宋体"/>
          <w:sz w:val="24"/>
          <w:szCs w:val="24"/>
          <w:highlight w:val="none"/>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sz w:val="24"/>
          <w:highlight w:val="none"/>
        </w:rPr>
      </w:pPr>
      <w:r>
        <w:rPr>
          <w:rFonts w:hint="eastAsia" w:ascii="宋体" w:hAnsi="宋体"/>
          <w:sz w:val="24"/>
          <w:szCs w:val="24"/>
          <w:highlight w:val="none"/>
        </w:rPr>
        <w:t>（2）</w:t>
      </w:r>
      <w:r>
        <w:rPr>
          <w:rFonts w:hint="eastAsia" w:ascii="宋体" w:hAnsi="宋体"/>
          <w:sz w:val="24"/>
          <w:highlight w:val="none"/>
        </w:rPr>
        <w:t>报价表。</w:t>
      </w:r>
    </w:p>
    <w:p>
      <w:pPr>
        <w:pStyle w:val="3"/>
        <w:snapToGrid w:val="0"/>
        <w:ind w:left="0" w:leftChars="0" w:firstLine="480" w:firstLineChars="200"/>
        <w:rPr>
          <w:rFonts w:ascii="宋体" w:hAnsi="宋体"/>
          <w:sz w:val="24"/>
          <w:szCs w:val="24"/>
          <w:highlight w:val="none"/>
        </w:rPr>
      </w:pPr>
      <w:r>
        <w:rPr>
          <w:rFonts w:hint="eastAsia" w:ascii="宋体" w:hAnsi="宋体"/>
          <w:sz w:val="24"/>
          <w:szCs w:val="24"/>
          <w:highlight w:val="none"/>
        </w:rPr>
        <w:t>2.参选报价货币为</w:t>
      </w:r>
      <w:r>
        <w:rPr>
          <w:rFonts w:hint="eastAsia" w:ascii="宋体" w:hAnsi="宋体"/>
          <w:b/>
          <w:bCs/>
          <w:sz w:val="24"/>
          <w:szCs w:val="24"/>
          <w:highlight w:val="none"/>
          <w:u w:val="single"/>
        </w:rPr>
        <w:t>人民币</w:t>
      </w:r>
      <w:r>
        <w:rPr>
          <w:rFonts w:hint="eastAsia" w:ascii="宋体" w:hAnsi="宋体"/>
          <w:sz w:val="24"/>
          <w:szCs w:val="24"/>
          <w:highlight w:val="none"/>
        </w:rPr>
        <w:t>。</w:t>
      </w:r>
    </w:p>
    <w:p>
      <w:pPr>
        <w:pStyle w:val="3"/>
        <w:snapToGrid w:val="0"/>
        <w:ind w:left="0" w:leftChars="0" w:firstLine="480" w:firstLineChars="200"/>
        <w:rPr>
          <w:rFonts w:hint="eastAsia" w:ascii="宋体" w:hAnsi="宋体"/>
          <w:sz w:val="24"/>
          <w:szCs w:val="24"/>
          <w:highlight w:val="none"/>
        </w:rPr>
      </w:pPr>
      <w:bookmarkStart w:id="65" w:name="_Toc402782173"/>
      <w:bookmarkStart w:id="66" w:name="_Toc197404910"/>
      <w:r>
        <w:rPr>
          <w:rFonts w:hint="eastAsia" w:ascii="宋体" w:hAnsi="宋体"/>
          <w:sz w:val="24"/>
          <w:szCs w:val="24"/>
          <w:highlight w:val="none"/>
        </w:rPr>
        <w:t>3．比选人认为参选人自备设施、工作人员的保险及劳动保护等费用已包含在参选人的参选报价中。</w:t>
      </w:r>
    </w:p>
    <w:p>
      <w:pPr>
        <w:pStyle w:val="3"/>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4．比选人认为参选人报价已包含但不限于版权、人工、研发及为完成本项目工作产生的管理费、培训费等系列费用及相关税费等（包括关税、增值税）。</w:t>
      </w:r>
    </w:p>
    <w:p>
      <w:pPr>
        <w:pStyle w:val="3"/>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24"/>
        <w:tabs>
          <w:tab w:val="right" w:pos="9026"/>
        </w:tabs>
        <w:spacing w:line="360" w:lineRule="auto"/>
        <w:ind w:firstLine="480" w:firstLineChars="200"/>
        <w:rPr>
          <w:rFonts w:hint="eastAsia" w:hAnsi="宋体"/>
          <w:sz w:val="24"/>
          <w:szCs w:val="24"/>
          <w:highlight w:val="none"/>
        </w:rPr>
      </w:pPr>
      <w:r>
        <w:rPr>
          <w:rFonts w:hint="eastAsia" w:ascii="宋体" w:hAnsi="宋体"/>
          <w:sz w:val="24"/>
          <w:szCs w:val="24"/>
          <w:highlight w:val="none"/>
        </w:rPr>
        <w:t>6．参选人报价内容为总报价，</w:t>
      </w:r>
      <w:r>
        <w:rPr>
          <w:rFonts w:hint="eastAsia" w:ascii="宋体" w:hAnsi="宋体" w:eastAsia="宋体" w:cs="Times New Roman"/>
          <w:sz w:val="24"/>
          <w:szCs w:val="24"/>
          <w:highlight w:val="none"/>
        </w:rPr>
        <w:t>本次参选报价最高限价为人民币</w:t>
      </w:r>
      <w:r>
        <w:rPr>
          <w:rFonts w:hint="eastAsia" w:ascii="宋体" w:hAnsi="宋体" w:eastAsia="宋体" w:cs="Times New Roman"/>
          <w:sz w:val="24"/>
          <w:szCs w:val="24"/>
          <w:highlight w:val="none"/>
          <w:lang w:val="en-US" w:eastAsia="zh-CN"/>
        </w:rPr>
        <w:t>165</w:t>
      </w:r>
      <w:r>
        <w:rPr>
          <w:rFonts w:hint="eastAsia" w:ascii="宋体" w:hAnsi="宋体" w:eastAsia="宋体" w:cs="Times New Roman"/>
          <w:sz w:val="24"/>
          <w:szCs w:val="24"/>
          <w:highlight w:val="none"/>
        </w:rPr>
        <w:t>.00万元（含税）。</w:t>
      </w:r>
    </w:p>
    <w:p>
      <w:pPr>
        <w:pStyle w:val="24"/>
        <w:spacing w:line="360" w:lineRule="auto"/>
        <w:ind w:firstLine="480" w:firstLineChars="200"/>
        <w:rPr>
          <w:rFonts w:hint="eastAsia" w:ascii="宋体" w:hAnsi="宋体"/>
          <w:sz w:val="24"/>
          <w:szCs w:val="24"/>
          <w:highlight w:val="none"/>
        </w:rPr>
      </w:pPr>
      <w:r>
        <w:rPr>
          <w:rFonts w:hint="eastAsia" w:hAnsi="宋体" w:cs="宋体"/>
          <w:bCs/>
          <w:kern w:val="2"/>
          <w:sz w:val="24"/>
          <w:szCs w:val="24"/>
          <w:highlight w:val="none"/>
        </w:rPr>
        <w:t>其中</w:t>
      </w:r>
      <w:r>
        <w:rPr>
          <w:rFonts w:hint="eastAsia" w:hAnsi="宋体" w:eastAsia="宋体" w:cs="宋体"/>
          <w:bCs/>
          <w:kern w:val="2"/>
          <w:sz w:val="24"/>
          <w:szCs w:val="24"/>
          <w:highlight w:val="none"/>
        </w:rPr>
        <w:t>系列营销活动控制价为</w:t>
      </w:r>
      <w:r>
        <w:rPr>
          <w:rFonts w:hint="eastAsia" w:hAnsi="宋体" w:eastAsia="宋体" w:cs="宋体"/>
          <w:bCs/>
          <w:kern w:val="2"/>
          <w:sz w:val="24"/>
          <w:szCs w:val="24"/>
          <w:highlight w:val="none"/>
          <w:lang w:val="en-US" w:eastAsia="zh-CN"/>
        </w:rPr>
        <w:t>80</w:t>
      </w:r>
      <w:r>
        <w:rPr>
          <w:rFonts w:hint="eastAsia" w:hAnsi="宋体" w:eastAsia="宋体" w:cs="宋体"/>
          <w:bCs/>
          <w:kern w:val="2"/>
          <w:sz w:val="24"/>
          <w:szCs w:val="24"/>
          <w:highlight w:val="none"/>
        </w:rPr>
        <w:t>万元（含税），</w:t>
      </w:r>
      <w:r>
        <w:rPr>
          <w:rFonts w:hint="eastAsia" w:hAnsi="宋体" w:eastAsia="宋体" w:cs="宋体"/>
          <w:bCs/>
          <w:kern w:val="2"/>
          <w:sz w:val="24"/>
          <w:szCs w:val="24"/>
          <w:highlight w:val="none"/>
          <w:lang w:val="en-US" w:eastAsia="zh-CN"/>
        </w:rPr>
        <w:t>现场包装服务</w:t>
      </w:r>
      <w:r>
        <w:rPr>
          <w:rFonts w:hint="eastAsia" w:hAnsi="宋体" w:eastAsia="宋体" w:cs="宋体"/>
          <w:bCs/>
          <w:kern w:val="2"/>
          <w:sz w:val="24"/>
          <w:szCs w:val="24"/>
          <w:highlight w:val="none"/>
        </w:rPr>
        <w:t>控制价为</w:t>
      </w:r>
      <w:r>
        <w:rPr>
          <w:rFonts w:hint="eastAsia" w:hAnsi="宋体" w:eastAsia="宋体" w:cs="宋体"/>
          <w:bCs/>
          <w:kern w:val="2"/>
          <w:sz w:val="24"/>
          <w:szCs w:val="24"/>
          <w:highlight w:val="none"/>
          <w:lang w:val="en-US" w:eastAsia="zh-CN"/>
        </w:rPr>
        <w:t>85万</w:t>
      </w:r>
      <w:r>
        <w:rPr>
          <w:rFonts w:hint="eastAsia" w:hAnsi="宋体" w:eastAsia="宋体" w:cs="宋体"/>
          <w:bCs/>
          <w:kern w:val="2"/>
          <w:sz w:val="24"/>
          <w:szCs w:val="24"/>
          <w:highlight w:val="none"/>
        </w:rPr>
        <w:t>元（含税）</w:t>
      </w:r>
      <w:r>
        <w:rPr>
          <w:rFonts w:hint="eastAsia" w:hAnsi="宋体" w:cs="宋体"/>
          <w:bCs/>
          <w:kern w:val="2"/>
          <w:sz w:val="24"/>
          <w:szCs w:val="24"/>
          <w:highlight w:val="none"/>
        </w:rPr>
        <w:t>。</w:t>
      </w:r>
      <w:r>
        <w:rPr>
          <w:rFonts w:hint="eastAsia" w:ascii="宋体" w:hAnsi="宋体"/>
          <w:sz w:val="24"/>
          <w:szCs w:val="24"/>
          <w:highlight w:val="none"/>
        </w:rPr>
        <w:t>超过参选报价上限按无效标处理。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67" w:name="_Toc57731966"/>
      <w:r>
        <w:rPr>
          <w:rFonts w:hint="eastAsia" w:ascii="宋体" w:hAnsi="宋体"/>
          <w:b/>
          <w:kern w:val="0"/>
          <w:sz w:val="24"/>
          <w:szCs w:val="24"/>
          <w:highlight w:val="none"/>
        </w:rPr>
        <w:t>三、参选人的承诺</w:t>
      </w:r>
      <w:bookmarkEnd w:id="67"/>
    </w:p>
    <w:p>
      <w:pPr>
        <w:pStyle w:val="3"/>
        <w:ind w:left="0" w:leftChars="0" w:firstLine="480" w:firstLineChars="200"/>
        <w:rPr>
          <w:rFonts w:ascii="宋体" w:hAnsi="宋体"/>
          <w:sz w:val="24"/>
          <w:highlight w:val="none"/>
        </w:rPr>
      </w:pPr>
      <w:r>
        <w:rPr>
          <w:rFonts w:hint="eastAsia" w:ascii="宋体" w:hAnsi="宋体"/>
          <w:sz w:val="24"/>
          <w:highlight w:val="none"/>
        </w:rPr>
        <w:t>参选人必须对下列各项做出承诺：</w:t>
      </w:r>
    </w:p>
    <w:p>
      <w:pPr>
        <w:pStyle w:val="3"/>
        <w:ind w:left="0" w:leftChars="0" w:firstLine="480" w:firstLineChars="200"/>
        <w:rPr>
          <w:rFonts w:ascii="宋体" w:hAnsi="宋体"/>
          <w:sz w:val="24"/>
          <w:highlight w:val="none"/>
        </w:rPr>
      </w:pPr>
      <w:r>
        <w:rPr>
          <w:rFonts w:hint="eastAsia" w:ascii="宋体" w:hAnsi="宋体"/>
          <w:sz w:val="24"/>
          <w:highlight w:val="none"/>
        </w:rPr>
        <w:t>1、参选人</w:t>
      </w:r>
      <w:r>
        <w:rPr>
          <w:rFonts w:hint="eastAsia"/>
          <w:sz w:val="24"/>
          <w:szCs w:val="32"/>
          <w:highlight w:val="none"/>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ind w:left="0" w:leftChars="0" w:firstLine="480" w:firstLineChars="200"/>
        <w:rPr>
          <w:rFonts w:ascii="宋体" w:hAnsi="宋体"/>
          <w:sz w:val="24"/>
          <w:highlight w:val="none"/>
        </w:rPr>
      </w:pPr>
      <w:r>
        <w:rPr>
          <w:rFonts w:hint="eastAsia" w:ascii="宋体" w:hAnsi="宋体"/>
          <w:sz w:val="24"/>
          <w:highlight w:val="none"/>
        </w:rPr>
        <w:t>2、参选人所委派的工作人员在中选后不得随意更改，如确需变更，需经比选人认可同意，如未经比选人同意，参选人自行变更参选文件中委派的主要人员（项目经理、顾问团队成员、项目组主要人员），比选人有权对</w:t>
      </w:r>
      <w:r>
        <w:rPr>
          <w:rFonts w:ascii="宋体" w:hAnsi="宋体"/>
          <w:sz w:val="24"/>
          <w:highlight w:val="none"/>
        </w:rPr>
        <w:t>参选人</w:t>
      </w:r>
      <w:r>
        <w:rPr>
          <w:rFonts w:hint="eastAsia" w:ascii="宋体" w:hAnsi="宋体"/>
          <w:sz w:val="24"/>
          <w:highlight w:val="none"/>
        </w:rPr>
        <w:t>予以相应违约</w:t>
      </w:r>
      <w:r>
        <w:rPr>
          <w:rFonts w:ascii="宋体" w:hAnsi="宋体"/>
          <w:sz w:val="24"/>
          <w:highlight w:val="none"/>
        </w:rPr>
        <w:t>处理</w:t>
      </w:r>
      <w:r>
        <w:rPr>
          <w:rFonts w:hint="eastAsia" w:ascii="宋体" w:hAnsi="宋体"/>
          <w:sz w:val="24"/>
          <w:highlight w:val="none"/>
        </w:rPr>
        <w:t>或终止履行合同。</w:t>
      </w:r>
    </w:p>
    <w:p>
      <w:pPr>
        <w:pStyle w:val="3"/>
        <w:ind w:left="0" w:leftChars="0" w:firstLine="480" w:firstLineChars="200"/>
        <w:rPr>
          <w:rFonts w:ascii="宋体" w:hAnsi="宋体"/>
          <w:sz w:val="24"/>
          <w:highlight w:val="none"/>
        </w:rPr>
      </w:pPr>
      <w:r>
        <w:rPr>
          <w:rFonts w:hint="eastAsia" w:ascii="宋体" w:hAnsi="宋体"/>
          <w:sz w:val="24"/>
          <w:highlight w:val="none"/>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ind w:left="0" w:leftChars="0" w:firstLine="480" w:firstLineChars="200"/>
        <w:rPr>
          <w:rFonts w:ascii="宋体" w:hAnsi="宋体"/>
          <w:sz w:val="24"/>
          <w:highlight w:val="none"/>
        </w:rPr>
      </w:pPr>
      <w:r>
        <w:rPr>
          <w:rFonts w:hint="eastAsia" w:ascii="宋体" w:hAnsi="宋体"/>
          <w:sz w:val="24"/>
          <w:highlight w:val="none"/>
        </w:rPr>
        <w:t>4、参选人同意：①由于非比选人原因（如因国家审批或政策环境、深圳市城市规划等因素）导致该项目被取消或无法实施，比选人将否决所有参选；②比选人可以否决所有参选，终止</w:t>
      </w:r>
      <w:r>
        <w:rPr>
          <w:rFonts w:ascii="宋体" w:hAnsi="宋体"/>
          <w:sz w:val="24"/>
          <w:highlight w:val="none"/>
        </w:rPr>
        <w:t>比选</w:t>
      </w:r>
      <w:r>
        <w:rPr>
          <w:rFonts w:hint="eastAsia" w:ascii="宋体" w:hAnsi="宋体"/>
          <w:sz w:val="24"/>
          <w:highlight w:val="none"/>
        </w:rPr>
        <w:t>而无须说明理由，比选人不承担因此给参选人造成的损失。</w:t>
      </w:r>
    </w:p>
    <w:p>
      <w:pPr>
        <w:pStyle w:val="5"/>
        <w:spacing w:line="360" w:lineRule="auto"/>
        <w:rPr>
          <w:rFonts w:ascii="宋体" w:hAnsi="宋体" w:eastAsia="宋体"/>
          <w:b/>
          <w:szCs w:val="28"/>
          <w:highlight w:val="none"/>
        </w:rPr>
      </w:pPr>
      <w:bookmarkStart w:id="68" w:name="_Toc57731967"/>
      <w:bookmarkStart w:id="69" w:name="_Toc197404908"/>
      <w:bookmarkStart w:id="70" w:name="_Toc518494132"/>
      <w:r>
        <w:rPr>
          <w:rFonts w:hint="eastAsia" w:ascii="宋体" w:hAnsi="宋体" w:eastAsia="宋体"/>
          <w:b/>
          <w:szCs w:val="28"/>
          <w:highlight w:val="none"/>
        </w:rPr>
        <w:t>第四章 参选文件的签章及封装要求</w:t>
      </w:r>
      <w:bookmarkEnd w:id="68"/>
      <w:bookmarkEnd w:id="69"/>
      <w:bookmarkEnd w:id="70"/>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71" w:name="_Toc57731968"/>
      <w:r>
        <w:rPr>
          <w:rFonts w:hint="eastAsia" w:ascii="宋体" w:hAnsi="宋体"/>
          <w:b/>
          <w:kern w:val="0"/>
          <w:sz w:val="24"/>
          <w:szCs w:val="24"/>
          <w:highlight w:val="none"/>
        </w:rPr>
        <w:t>一、参选文件的份数</w:t>
      </w:r>
      <w:bookmarkEnd w:id="71"/>
    </w:p>
    <w:p>
      <w:pPr>
        <w:pStyle w:val="3"/>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参选人应提交两套参选文件，即技术标参选文件、商务标参选文件，每套参选文件包含正本1册、副本6册。技术标书双面打印，商务标书单面打印，技术标书和商务标书分别封装。在每一册参选文件上要明确注明“正本”和“副本”，正本和副本有差异时，以正本为准。</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72" w:name="_Toc57731969"/>
      <w:r>
        <w:rPr>
          <w:rFonts w:hint="eastAsia" w:ascii="宋体" w:hAnsi="宋体"/>
          <w:b/>
          <w:kern w:val="0"/>
          <w:sz w:val="24"/>
          <w:szCs w:val="24"/>
          <w:highlight w:val="none"/>
        </w:rPr>
        <w:t>二、参选文件的签章</w:t>
      </w:r>
      <w:bookmarkEnd w:id="72"/>
    </w:p>
    <w:p>
      <w:pPr>
        <w:pStyle w:val="3"/>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1、所有参选文件（正、副本）均须加盖公章及骑缝章。</w:t>
      </w:r>
    </w:p>
    <w:p>
      <w:pPr>
        <w:pStyle w:val="3"/>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2、参选文件均应使用不能擦去的墨水打印或书写，并由参选人正式授权人签署。有增加或修正的各项，都应由参选文件签字人签字证明。</w:t>
      </w:r>
    </w:p>
    <w:p>
      <w:pPr>
        <w:pStyle w:val="3"/>
        <w:snapToGrid w:val="0"/>
        <w:ind w:left="0" w:leftChars="0" w:firstLine="480" w:firstLineChars="200"/>
        <w:rPr>
          <w:rFonts w:hint="eastAsia" w:ascii="宋体" w:hAnsi="宋体"/>
          <w:sz w:val="24"/>
          <w:szCs w:val="24"/>
          <w:highlight w:val="none"/>
        </w:rPr>
      </w:pPr>
      <w:r>
        <w:rPr>
          <w:rFonts w:hint="eastAsia" w:ascii="宋体" w:hAnsi="宋体"/>
          <w:sz w:val="24"/>
          <w:szCs w:val="24"/>
          <w:highlight w:val="none"/>
        </w:rPr>
        <w:t>3、参选文件应无涂改和行间插字，除非这些删改是根据比选人指示进行，或是参选人造成的必须修改的错误。在后一种情况下，修改处应由参选文件签字人签字证明。</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73" w:name="_Toc36527858"/>
      <w:bookmarkStart w:id="74" w:name="_Toc57731970"/>
      <w:r>
        <w:rPr>
          <w:rFonts w:hint="eastAsia" w:ascii="宋体" w:hAnsi="宋体"/>
          <w:b/>
          <w:kern w:val="0"/>
          <w:sz w:val="24"/>
          <w:szCs w:val="24"/>
          <w:highlight w:val="none"/>
        </w:rPr>
        <w:t>三、参选文件的密封与</w:t>
      </w:r>
      <w:bookmarkEnd w:id="73"/>
      <w:r>
        <w:rPr>
          <w:rFonts w:hint="eastAsia" w:ascii="宋体" w:hAnsi="宋体"/>
          <w:b/>
          <w:kern w:val="0"/>
          <w:sz w:val="24"/>
          <w:szCs w:val="24"/>
          <w:highlight w:val="none"/>
        </w:rPr>
        <w:t>标识</w:t>
      </w:r>
      <w:bookmarkEnd w:id="74"/>
    </w:p>
    <w:p>
      <w:pPr>
        <w:pStyle w:val="3"/>
        <w:ind w:left="0" w:leftChars="0" w:firstLine="480" w:firstLineChars="200"/>
        <w:rPr>
          <w:rFonts w:ascii="宋体" w:hAnsi="宋体"/>
          <w:sz w:val="24"/>
          <w:szCs w:val="24"/>
          <w:highlight w:val="none"/>
        </w:rPr>
      </w:pPr>
      <w:r>
        <w:rPr>
          <w:rFonts w:hint="eastAsia" w:ascii="宋体" w:hAnsi="宋体"/>
          <w:sz w:val="24"/>
          <w:szCs w:val="24"/>
          <w:highlight w:val="none"/>
        </w:rPr>
        <w:t>1．参选文件必须按规定密封，在外层包封封口处加盖参选人单位公章；</w:t>
      </w:r>
    </w:p>
    <w:p>
      <w:pPr>
        <w:pStyle w:val="3"/>
        <w:ind w:left="0" w:leftChars="0" w:firstLine="480" w:firstLineChars="200"/>
        <w:rPr>
          <w:rFonts w:ascii="宋体" w:hAnsi="宋体"/>
          <w:sz w:val="24"/>
          <w:szCs w:val="24"/>
          <w:highlight w:val="none"/>
        </w:rPr>
      </w:pPr>
      <w:r>
        <w:rPr>
          <w:rFonts w:hint="eastAsia" w:ascii="宋体" w:hAnsi="宋体"/>
          <w:sz w:val="24"/>
          <w:szCs w:val="24"/>
          <w:highlight w:val="none"/>
        </w:rPr>
        <w:t>2．参选人应按以下规定包封参选文件并加写标识：</w:t>
      </w:r>
    </w:p>
    <w:p>
      <w:pPr>
        <w:widowControl/>
        <w:overflowPunct w:val="0"/>
        <w:autoSpaceDE w:val="0"/>
        <w:autoSpaceDN w:val="0"/>
        <w:adjustRightInd w:val="0"/>
        <w:snapToGrid w:val="0"/>
        <w:spacing w:line="360" w:lineRule="auto"/>
        <w:ind w:firstLine="482" w:firstLineChars="200"/>
        <w:textAlignment w:val="baseline"/>
        <w:rPr>
          <w:rFonts w:hint="eastAsia" w:ascii="宋体" w:hAnsi="宋体"/>
          <w:b/>
          <w:sz w:val="24"/>
          <w:szCs w:val="24"/>
          <w:highlight w:val="none"/>
        </w:rPr>
      </w:pPr>
      <w:r>
        <w:rPr>
          <w:rFonts w:hint="eastAsia" w:ascii="宋体" w:hAnsi="宋体"/>
          <w:b/>
          <w:sz w:val="24"/>
          <w:szCs w:val="24"/>
          <w:highlight w:val="none"/>
        </w:rPr>
        <w:t>将参选文件的所有技术标书、 商务标书统一密封包装成一包，密封加盖参选人公章。</w:t>
      </w:r>
    </w:p>
    <w:p>
      <w:pPr>
        <w:spacing w:line="360" w:lineRule="auto"/>
        <w:ind w:firstLine="482" w:firstLineChars="200"/>
        <w:rPr>
          <w:rFonts w:ascii="宋体" w:hAnsi="宋体"/>
          <w:b/>
          <w:sz w:val="24"/>
          <w:szCs w:val="24"/>
          <w:highlight w:val="none"/>
        </w:rPr>
      </w:pPr>
      <w:r>
        <w:rPr>
          <w:rFonts w:hint="eastAsia" w:ascii="宋体" w:hAnsi="宋体"/>
          <w:b/>
          <w:bCs/>
          <w:sz w:val="24"/>
          <w:szCs w:val="24"/>
          <w:highlight w:val="none"/>
        </w:rPr>
        <w:t>项目名称：</w:t>
      </w:r>
      <w:r>
        <w:rPr>
          <w:rFonts w:hint="eastAsia" w:ascii="宋体" w:hAnsi="宋体" w:eastAsia="宋体" w:cs="Times New Roman"/>
          <w:b/>
          <w:sz w:val="24"/>
          <w:szCs w:val="24"/>
          <w:highlight w:val="none"/>
        </w:rPr>
        <w:t>深铁瑞城系列营销活动与现场包装服务参选</w:t>
      </w:r>
      <w:r>
        <w:rPr>
          <w:rFonts w:hint="eastAsia" w:ascii="宋体" w:hAnsi="宋体"/>
          <w:b/>
          <w:sz w:val="24"/>
          <w:szCs w:val="24"/>
          <w:highlight w:val="none"/>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highlight w:val="none"/>
        </w:rPr>
      </w:pPr>
      <w:r>
        <w:rPr>
          <w:rFonts w:hint="eastAsia" w:ascii="宋体" w:hAnsi="宋体"/>
          <w:b/>
          <w:bCs/>
          <w:sz w:val="24"/>
          <w:szCs w:val="24"/>
          <w:highlight w:val="none"/>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highlight w:val="none"/>
        </w:rPr>
      </w:pPr>
      <w:r>
        <w:rPr>
          <w:rFonts w:hint="eastAsia" w:ascii="宋体" w:hAnsi="宋体"/>
          <w:b/>
          <w:bCs/>
          <w:sz w:val="24"/>
          <w:szCs w:val="24"/>
          <w:highlight w:val="none"/>
        </w:rPr>
        <w:t>参选人地址：</w:t>
      </w:r>
    </w:p>
    <w:p>
      <w:pPr>
        <w:pStyle w:val="5"/>
        <w:spacing w:after="0" w:line="360" w:lineRule="auto"/>
        <w:rPr>
          <w:rFonts w:hint="eastAsia" w:ascii="宋体" w:hAnsi="宋体" w:eastAsia="宋体"/>
          <w:b/>
          <w:highlight w:val="none"/>
        </w:rPr>
      </w:pPr>
      <w:bookmarkStart w:id="75" w:name="_Toc36527859"/>
      <w:bookmarkStart w:id="76" w:name="_Toc197404909"/>
      <w:bookmarkStart w:id="77" w:name="_Toc57731971"/>
      <w:bookmarkStart w:id="78" w:name="_Toc518494133"/>
    </w:p>
    <w:p>
      <w:pPr>
        <w:pStyle w:val="5"/>
        <w:spacing w:before="140" w:after="0" w:line="360" w:lineRule="auto"/>
        <w:rPr>
          <w:rFonts w:ascii="宋体" w:hAnsi="宋体" w:eastAsia="宋体"/>
          <w:b/>
          <w:highlight w:val="none"/>
        </w:rPr>
      </w:pPr>
      <w:r>
        <w:rPr>
          <w:rFonts w:hint="eastAsia" w:ascii="宋体" w:hAnsi="宋体" w:eastAsia="宋体"/>
          <w:b/>
          <w:highlight w:val="none"/>
        </w:rPr>
        <w:t xml:space="preserve">第五章 </w:t>
      </w:r>
      <w:bookmarkEnd w:id="75"/>
      <w:r>
        <w:rPr>
          <w:rFonts w:hint="eastAsia" w:ascii="宋体" w:hAnsi="宋体" w:eastAsia="宋体"/>
          <w:b/>
          <w:highlight w:val="none"/>
        </w:rPr>
        <w:t>参选文件递交</w:t>
      </w:r>
      <w:bookmarkEnd w:id="76"/>
      <w:bookmarkEnd w:id="77"/>
      <w:bookmarkEnd w:id="78"/>
    </w:p>
    <w:p>
      <w:pPr>
        <w:spacing w:line="360" w:lineRule="auto"/>
        <w:ind w:firstLine="480" w:firstLineChars="200"/>
        <w:rPr>
          <w:rFonts w:hint="eastAsia" w:ascii="宋体" w:hAnsi="宋体"/>
          <w:b/>
          <w:sz w:val="24"/>
          <w:highlight w:val="none"/>
        </w:rPr>
      </w:pPr>
      <w:r>
        <w:rPr>
          <w:rFonts w:hint="eastAsia" w:ascii="宋体" w:hAnsi="宋体"/>
          <w:sz w:val="24"/>
          <w:highlight w:val="none"/>
        </w:rPr>
        <w:t>一、参选人应按本参选须知</w:t>
      </w:r>
      <w:r>
        <w:rPr>
          <w:rFonts w:hint="eastAsia" w:ascii="宋体" w:hAnsi="宋体"/>
          <w:b/>
          <w:bCs/>
          <w:sz w:val="24"/>
          <w:highlight w:val="none"/>
        </w:rPr>
        <w:t>规定</w:t>
      </w:r>
      <w:r>
        <w:rPr>
          <w:rFonts w:hint="eastAsia" w:ascii="宋体" w:hAnsi="宋体"/>
          <w:sz w:val="24"/>
          <w:highlight w:val="none"/>
        </w:rPr>
        <w:t>的地点、日期和时间递交参选文件。</w:t>
      </w:r>
      <w:r>
        <w:rPr>
          <w:rFonts w:ascii="宋体" w:hAnsi="宋体"/>
          <w:b/>
          <w:sz w:val="24"/>
          <w:highlight w:val="none"/>
        </w:rPr>
        <w:t>递交参选文件者须是法定代表人或法定代表人授权委托人</w:t>
      </w:r>
      <w:r>
        <w:rPr>
          <w:rFonts w:hint="eastAsia" w:ascii="宋体" w:hAnsi="宋体"/>
          <w:sz w:val="24"/>
          <w:highlight w:val="none"/>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9" w:name="_Toc36527860"/>
      <w:r>
        <w:rPr>
          <w:rFonts w:hint="eastAsia" w:ascii="宋体" w:hAnsi="宋体"/>
          <w:sz w:val="24"/>
          <w:highlight w:val="none"/>
        </w:rPr>
        <w:t>本</w:t>
      </w:r>
      <w:r>
        <w:rPr>
          <w:rFonts w:ascii="宋体" w:hAnsi="宋体"/>
          <w:sz w:val="24"/>
          <w:highlight w:val="none"/>
        </w:rPr>
        <w:t>比选文件所</w:t>
      </w:r>
      <w:r>
        <w:rPr>
          <w:rFonts w:hint="eastAsia" w:ascii="宋体" w:hAnsi="宋体"/>
          <w:sz w:val="24"/>
          <w:highlight w:val="none"/>
        </w:rPr>
        <w:t>述</w:t>
      </w:r>
      <w:r>
        <w:rPr>
          <w:rFonts w:ascii="宋体" w:hAnsi="宋体"/>
          <w:sz w:val="24"/>
          <w:highlight w:val="none"/>
        </w:rPr>
        <w:t>法定代表人</w:t>
      </w:r>
      <w:r>
        <w:rPr>
          <w:rFonts w:hint="eastAsia" w:ascii="宋体" w:hAnsi="宋体"/>
          <w:sz w:val="24"/>
          <w:highlight w:val="none"/>
        </w:rPr>
        <w:t>即</w:t>
      </w:r>
      <w:r>
        <w:rPr>
          <w:rFonts w:ascii="宋体" w:hAnsi="宋体"/>
          <w:sz w:val="24"/>
          <w:highlight w:val="none"/>
        </w:rPr>
        <w:t>法定代表人或法定负责人。</w:t>
      </w:r>
    </w:p>
    <w:p>
      <w:pPr>
        <w:spacing w:line="360" w:lineRule="auto"/>
        <w:ind w:firstLine="480" w:firstLineChars="200"/>
        <w:rPr>
          <w:rFonts w:hint="eastAsia" w:ascii="宋体" w:hAnsi="宋体"/>
          <w:sz w:val="24"/>
          <w:highlight w:val="none"/>
        </w:rPr>
      </w:pPr>
      <w:r>
        <w:rPr>
          <w:rFonts w:hint="eastAsia" w:ascii="宋体" w:hAnsi="宋体"/>
          <w:sz w:val="24"/>
          <w:highlight w:val="none"/>
        </w:rPr>
        <w:t>二、迟到的参选文件</w:t>
      </w:r>
      <w:bookmarkEnd w:id="79"/>
    </w:p>
    <w:p>
      <w:pPr>
        <w:spacing w:line="360" w:lineRule="auto"/>
        <w:ind w:firstLine="480" w:firstLineChars="200"/>
        <w:rPr>
          <w:rFonts w:hint="eastAsia" w:ascii="宋体" w:hAnsi="宋体"/>
          <w:b/>
          <w:sz w:val="24"/>
          <w:highlight w:val="none"/>
        </w:rPr>
      </w:pPr>
      <w:r>
        <w:rPr>
          <w:rFonts w:ascii="宋体" w:hAnsi="宋体"/>
          <w:sz w:val="24"/>
          <w:highlight w:val="none"/>
        </w:rPr>
        <w:t>在本参选须知第一章第四条规定的参选截止期以后送达的或者未送达指定地点的参选文件将不予受理。</w:t>
      </w:r>
      <w:r>
        <w:rPr>
          <w:rFonts w:hint="eastAsia" w:ascii="宋体" w:hAnsi="宋体"/>
          <w:sz w:val="24"/>
          <w:highlight w:val="none"/>
        </w:rPr>
        <w:t>参选人在递交参选文件时应遵照工作人员的安排有秩序地进行。</w:t>
      </w:r>
    </w:p>
    <w:p>
      <w:pPr>
        <w:pStyle w:val="5"/>
        <w:spacing w:after="0" w:line="360" w:lineRule="auto"/>
        <w:rPr>
          <w:rFonts w:ascii="宋体" w:hAnsi="宋体" w:eastAsia="宋体"/>
          <w:b/>
          <w:highlight w:val="none"/>
        </w:rPr>
      </w:pPr>
      <w:bookmarkStart w:id="80" w:name="_Toc57731972"/>
      <w:r>
        <w:rPr>
          <w:rFonts w:hint="eastAsia" w:ascii="宋体" w:hAnsi="宋体" w:eastAsia="宋体"/>
          <w:b/>
          <w:highlight w:val="none"/>
        </w:rPr>
        <w:t>第六章  参选有效期</w:t>
      </w:r>
      <w:bookmarkEnd w:id="80"/>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一、自规定的参选书递交截止期限起</w:t>
      </w:r>
      <w:r>
        <w:rPr>
          <w:rFonts w:ascii="宋体" w:hAnsi="宋体"/>
          <w:sz w:val="24"/>
          <w:szCs w:val="24"/>
          <w:highlight w:val="none"/>
        </w:rPr>
        <w:t>180</w:t>
      </w:r>
      <w:r>
        <w:rPr>
          <w:rFonts w:hint="eastAsia" w:ascii="宋体" w:hAnsi="宋体"/>
          <w:sz w:val="24"/>
          <w:szCs w:val="24"/>
          <w:highlight w:val="none"/>
        </w:rPr>
        <w:t>天内，参选书均保持有效。</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二、在</w:t>
      </w:r>
      <w:r>
        <w:rPr>
          <w:rFonts w:ascii="宋体" w:hAnsi="宋体"/>
          <w:sz w:val="24"/>
          <w:szCs w:val="24"/>
          <w:highlight w:val="none"/>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5"/>
        <w:spacing w:after="0" w:line="360" w:lineRule="auto"/>
        <w:rPr>
          <w:rFonts w:ascii="宋体" w:hAnsi="宋体" w:eastAsia="宋体"/>
          <w:b/>
          <w:highlight w:val="none"/>
        </w:rPr>
      </w:pPr>
      <w:bookmarkStart w:id="81" w:name="_Toc518494135"/>
      <w:bookmarkStart w:id="82" w:name="_Toc57731973"/>
      <w:r>
        <w:rPr>
          <w:rFonts w:hint="eastAsia" w:ascii="宋体" w:hAnsi="宋体" w:eastAsia="宋体"/>
          <w:b/>
          <w:highlight w:val="none"/>
        </w:rPr>
        <w:t>第七章  开标</w:t>
      </w:r>
      <w:bookmarkEnd w:id="81"/>
      <w:bookmarkEnd w:id="82"/>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一、截标后首先进入开标环节，比选人将于</w:t>
      </w:r>
      <w:r>
        <w:rPr>
          <w:rFonts w:ascii="宋体" w:hAnsi="宋体"/>
          <w:sz w:val="24"/>
          <w:szCs w:val="24"/>
          <w:highlight w:val="none"/>
        </w:rPr>
        <w:t>参选须知所</w:t>
      </w:r>
      <w:r>
        <w:rPr>
          <w:rFonts w:hint="eastAsia" w:ascii="宋体" w:hAnsi="宋体"/>
          <w:sz w:val="24"/>
          <w:szCs w:val="24"/>
          <w:highlight w:val="none"/>
        </w:rPr>
        <w:t>规定的时间和地点公开举行开标会议，所有参选人代表参加。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开标会议由比选人主持</w:t>
      </w:r>
      <w:r>
        <w:rPr>
          <w:rFonts w:hint="eastAsia" w:ascii="宋体" w:hAnsi="宋体"/>
          <w:sz w:val="24"/>
          <w:szCs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由比选人监</w:t>
      </w:r>
      <w:r>
        <w:rPr>
          <w:rFonts w:hint="eastAsia" w:ascii="宋体" w:hAnsi="宋体"/>
          <w:sz w:val="24"/>
          <w:szCs w:val="24"/>
          <w:highlight w:val="none"/>
        </w:rPr>
        <w:t>审人员</w:t>
      </w:r>
      <w:r>
        <w:rPr>
          <w:rFonts w:ascii="宋体" w:hAnsi="宋体"/>
          <w:sz w:val="24"/>
          <w:szCs w:val="24"/>
          <w:highlight w:val="none"/>
        </w:rPr>
        <w:t>及参选人监督检查</w:t>
      </w:r>
      <w:r>
        <w:rPr>
          <w:rFonts w:hint="eastAsia" w:ascii="宋体" w:hAnsi="宋体"/>
          <w:sz w:val="24"/>
          <w:szCs w:val="24"/>
          <w:highlight w:val="none"/>
        </w:rPr>
        <w:t>所有</w:t>
      </w:r>
      <w:r>
        <w:rPr>
          <w:rFonts w:ascii="宋体" w:hAnsi="宋体"/>
          <w:sz w:val="24"/>
          <w:szCs w:val="24"/>
          <w:highlight w:val="none"/>
        </w:rPr>
        <w:t>参选文件的密封情况</w:t>
      </w:r>
      <w:r>
        <w:rPr>
          <w:rFonts w:hint="eastAsia" w:ascii="宋体" w:hAnsi="宋体"/>
          <w:sz w:val="24"/>
          <w:szCs w:val="24"/>
          <w:highlight w:val="none"/>
        </w:rPr>
        <w:t>，也可以由比选人委托的公证机构进行检查并公证。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w:t>
      </w:r>
      <w:bookmarkStart w:id="83" w:name="_Hlk77375959"/>
      <w:r>
        <w:rPr>
          <w:rFonts w:hint="eastAsia" w:ascii="宋体" w:hAnsi="宋体"/>
          <w:sz w:val="24"/>
          <w:szCs w:val="24"/>
          <w:highlight w:val="none"/>
        </w:rPr>
        <w:t>经确认无误后，</w:t>
      </w:r>
      <w:bookmarkStart w:id="84" w:name="_Hlk77373092"/>
      <w:r>
        <w:rPr>
          <w:rFonts w:hint="eastAsia" w:ascii="宋体" w:hAnsi="宋体"/>
          <w:sz w:val="24"/>
          <w:szCs w:val="24"/>
          <w:highlight w:val="none"/>
        </w:rPr>
        <w:t>由比选人按各参选单位签到的先后时间顺序，当众拆封所有参选文件，先</w:t>
      </w:r>
      <w:r>
        <w:rPr>
          <w:rFonts w:ascii="宋体" w:hAnsi="宋体"/>
          <w:sz w:val="24"/>
          <w:szCs w:val="24"/>
          <w:highlight w:val="none"/>
        </w:rPr>
        <w:t>开技术标</w:t>
      </w:r>
      <w:r>
        <w:rPr>
          <w:rFonts w:hint="eastAsia" w:ascii="宋体" w:hAnsi="宋体"/>
          <w:sz w:val="24"/>
          <w:szCs w:val="24"/>
          <w:highlight w:val="none"/>
        </w:rPr>
        <w:t>，</w:t>
      </w:r>
      <w:r>
        <w:rPr>
          <w:rFonts w:ascii="宋体" w:hAnsi="宋体"/>
          <w:sz w:val="24"/>
          <w:szCs w:val="24"/>
          <w:highlight w:val="none"/>
        </w:rPr>
        <w:t>再开商务标</w:t>
      </w:r>
      <w:r>
        <w:rPr>
          <w:rFonts w:hint="eastAsia" w:ascii="宋体" w:hAnsi="宋体"/>
          <w:sz w:val="24"/>
          <w:szCs w:val="24"/>
          <w:highlight w:val="none"/>
        </w:rPr>
        <w:t>。比选</w:t>
      </w:r>
      <w:r>
        <w:rPr>
          <w:rFonts w:ascii="宋体" w:hAnsi="宋体"/>
          <w:sz w:val="24"/>
          <w:szCs w:val="24"/>
          <w:highlight w:val="none"/>
        </w:rPr>
        <w:t>人工作人员</w:t>
      </w:r>
      <w:r>
        <w:rPr>
          <w:rFonts w:hint="eastAsia" w:ascii="宋体" w:hAnsi="宋体"/>
          <w:sz w:val="24"/>
          <w:szCs w:val="24"/>
          <w:highlight w:val="none"/>
        </w:rPr>
        <w:t>宣读参选人名称、参选报价等</w:t>
      </w:r>
      <w:bookmarkEnd w:id="83"/>
      <w:bookmarkEnd w:id="84"/>
      <w:r>
        <w:rPr>
          <w:rFonts w:hint="eastAsia" w:ascii="宋体" w:hAnsi="宋体"/>
          <w:sz w:val="24"/>
          <w:szCs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六、比选人将作开标记录，并由参选人签字确认，以存档备查。</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七、按本须知规定宣布为不予受理情形的参选文件，不予送交评标委员会评审。</w:t>
      </w:r>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八、开标结束后，进入评标环节。根据评标“先评技术标，再评商务标”的原则，比选人工作人员</w:t>
      </w:r>
      <w:r>
        <w:rPr>
          <w:rFonts w:hint="eastAsia" w:ascii="宋体" w:hAnsi="宋体"/>
          <w:bCs/>
          <w:sz w:val="24"/>
          <w:szCs w:val="24"/>
          <w:highlight w:val="none"/>
        </w:rPr>
        <w:t>先仅将技术标书移交评标委员会</w:t>
      </w:r>
      <w:r>
        <w:rPr>
          <w:rFonts w:ascii="宋体" w:hAnsi="宋体"/>
          <w:bCs/>
          <w:sz w:val="24"/>
          <w:szCs w:val="24"/>
          <w:highlight w:val="none"/>
        </w:rPr>
        <w:t>,待技术标书评审完成后再移交商务标书。</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九、参选文件有下列情形之一的，比选人将不予受理：</w:t>
      </w:r>
    </w:p>
    <w:p>
      <w:pPr>
        <w:spacing w:line="360" w:lineRule="auto"/>
        <w:ind w:firstLine="480" w:firstLineChars="200"/>
        <w:rPr>
          <w:rFonts w:ascii="宋体" w:hAnsi="宋体"/>
          <w:b/>
          <w:sz w:val="24"/>
          <w:szCs w:val="24"/>
          <w:highlight w:val="none"/>
        </w:rPr>
      </w:pPr>
      <w:r>
        <w:rPr>
          <w:rFonts w:hint="eastAsia" w:ascii="宋体" w:hAnsi="宋体"/>
          <w:sz w:val="24"/>
          <w:szCs w:val="24"/>
          <w:highlight w:val="none"/>
        </w:rPr>
        <w:t>（1）</w:t>
      </w:r>
      <w:r>
        <w:rPr>
          <w:rFonts w:ascii="宋体" w:hAnsi="宋体"/>
          <w:sz w:val="24"/>
          <w:szCs w:val="24"/>
          <w:highlight w:val="none"/>
        </w:rPr>
        <w:t>参选文件在规定的参选截止时间以后送达的或者未送达指定地点的；</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（2）参选文件</w:t>
      </w:r>
      <w:r>
        <w:rPr>
          <w:rFonts w:ascii="宋体" w:hAnsi="宋体"/>
          <w:sz w:val="24"/>
          <w:szCs w:val="24"/>
          <w:highlight w:val="none"/>
        </w:rPr>
        <w:t>未按规定密封和加盖参选人公章的</w:t>
      </w:r>
      <w:r>
        <w:rPr>
          <w:rFonts w:hint="eastAsia" w:ascii="宋体" w:hAnsi="宋体"/>
          <w:sz w:val="24"/>
          <w:szCs w:val="24"/>
          <w:highlight w:val="none"/>
        </w:rPr>
        <w:t>；</w:t>
      </w:r>
    </w:p>
    <w:p>
      <w:pPr>
        <w:spacing w:line="360" w:lineRule="auto"/>
        <w:ind w:firstLine="480" w:firstLineChars="200"/>
        <w:rPr>
          <w:rFonts w:ascii="宋体" w:hAnsi="宋体"/>
          <w:sz w:val="24"/>
          <w:highlight w:val="none"/>
        </w:rPr>
      </w:pPr>
      <w:r>
        <w:rPr>
          <w:rFonts w:hint="eastAsia" w:ascii="宋体" w:hAnsi="宋体"/>
          <w:sz w:val="24"/>
          <w:szCs w:val="24"/>
          <w:highlight w:val="none"/>
        </w:rPr>
        <w:t>（3）</w:t>
      </w:r>
      <w:r>
        <w:rPr>
          <w:rFonts w:hint="eastAsia" w:ascii="宋体" w:hAnsi="宋体"/>
          <w:sz w:val="24"/>
          <w:highlight w:val="none"/>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hint="eastAsia" w:ascii="宋体" w:hAnsi="宋体"/>
          <w:b/>
          <w:sz w:val="24"/>
          <w:highlight w:val="none"/>
        </w:rPr>
      </w:pPr>
      <w:r>
        <w:rPr>
          <w:rFonts w:hint="eastAsia" w:ascii="宋体" w:hAnsi="宋体"/>
          <w:b/>
          <w:sz w:val="24"/>
          <w:highlight w:val="none"/>
        </w:rPr>
        <w:t>参选</w:t>
      </w:r>
      <w:r>
        <w:rPr>
          <w:rFonts w:ascii="宋体" w:hAnsi="宋体"/>
          <w:b/>
          <w:sz w:val="24"/>
          <w:highlight w:val="none"/>
        </w:rPr>
        <w:t>人如</w:t>
      </w:r>
      <w:r>
        <w:rPr>
          <w:rFonts w:hint="eastAsia" w:ascii="宋体" w:hAnsi="宋体"/>
          <w:b/>
          <w:sz w:val="24"/>
          <w:highlight w:val="none"/>
        </w:rPr>
        <w:t>对比选文件</w:t>
      </w:r>
      <w:r>
        <w:rPr>
          <w:rFonts w:ascii="宋体" w:hAnsi="宋体"/>
          <w:b/>
          <w:sz w:val="24"/>
          <w:highlight w:val="none"/>
        </w:rPr>
        <w:t>及参选文件的编制有疑问，</w:t>
      </w:r>
      <w:r>
        <w:rPr>
          <w:rFonts w:hint="eastAsia" w:ascii="宋体" w:hAnsi="宋体"/>
          <w:b/>
          <w:sz w:val="24"/>
          <w:highlight w:val="none"/>
        </w:rPr>
        <w:t>请主动及时地</w:t>
      </w:r>
      <w:r>
        <w:rPr>
          <w:rFonts w:ascii="宋体" w:hAnsi="宋体"/>
          <w:b/>
          <w:sz w:val="24"/>
          <w:highlight w:val="none"/>
        </w:rPr>
        <w:t>联系比选人。</w:t>
      </w:r>
    </w:p>
    <w:p>
      <w:pPr>
        <w:pStyle w:val="5"/>
        <w:spacing w:after="0" w:line="360" w:lineRule="auto"/>
        <w:rPr>
          <w:rFonts w:ascii="宋体" w:hAnsi="宋体" w:eastAsia="宋体"/>
          <w:b/>
          <w:highlight w:val="none"/>
        </w:rPr>
      </w:pPr>
      <w:bookmarkStart w:id="85" w:name="_Toc57731974"/>
      <w:bookmarkStart w:id="86" w:name="_Toc518494136"/>
      <w:r>
        <w:rPr>
          <w:rFonts w:ascii="宋体" w:hAnsi="宋体" w:eastAsia="宋体"/>
          <w:b/>
          <w:highlight w:val="none"/>
        </w:rPr>
        <w:t>第</w:t>
      </w:r>
      <w:r>
        <w:rPr>
          <w:rFonts w:hint="eastAsia" w:ascii="宋体" w:hAnsi="宋体" w:eastAsia="宋体"/>
          <w:b/>
          <w:highlight w:val="none"/>
        </w:rPr>
        <w:t>八</w:t>
      </w:r>
      <w:r>
        <w:rPr>
          <w:rFonts w:ascii="宋体" w:hAnsi="宋体" w:eastAsia="宋体"/>
          <w:b/>
          <w:highlight w:val="none"/>
        </w:rPr>
        <w:t>章</w:t>
      </w:r>
      <w:r>
        <w:rPr>
          <w:rFonts w:hint="eastAsia" w:ascii="宋体" w:hAnsi="宋体" w:eastAsia="宋体"/>
          <w:b/>
          <w:highlight w:val="none"/>
        </w:rPr>
        <w:t xml:space="preserve"> </w:t>
      </w:r>
      <w:r>
        <w:rPr>
          <w:rFonts w:ascii="宋体" w:hAnsi="宋体" w:eastAsia="宋体"/>
          <w:b/>
          <w:highlight w:val="none"/>
        </w:rPr>
        <w:t>评标</w:t>
      </w:r>
      <w:bookmarkEnd w:id="85"/>
      <w:bookmarkEnd w:id="86"/>
    </w:p>
    <w:p>
      <w:pPr>
        <w:spacing w:line="360" w:lineRule="auto"/>
        <w:ind w:firstLine="482" w:firstLineChars="200"/>
        <w:rPr>
          <w:rFonts w:ascii="宋体" w:hAnsi="宋体"/>
          <w:bCs/>
          <w:sz w:val="24"/>
          <w:szCs w:val="24"/>
          <w:highlight w:val="none"/>
        </w:rPr>
      </w:pPr>
      <w:r>
        <w:rPr>
          <w:rFonts w:hint="eastAsia" w:ascii="宋体" w:hAnsi="宋体"/>
          <w:b/>
          <w:bCs/>
          <w:sz w:val="24"/>
          <w:szCs w:val="24"/>
          <w:highlight w:val="none"/>
        </w:rPr>
        <w:t>一、开标完成结束后，进入评标环节。</w:t>
      </w:r>
      <w:r>
        <w:rPr>
          <w:rFonts w:ascii="宋体" w:hAnsi="宋体"/>
          <w:bCs/>
          <w:sz w:val="24"/>
          <w:szCs w:val="24"/>
          <w:highlight w:val="none"/>
        </w:rPr>
        <w:t>评标委员会由比选人组建，采用</w:t>
      </w:r>
      <w:r>
        <w:rPr>
          <w:rFonts w:hint="eastAsia" w:ascii="宋体" w:hAnsi="宋体"/>
          <w:bCs/>
          <w:sz w:val="24"/>
          <w:szCs w:val="24"/>
          <w:highlight w:val="none"/>
        </w:rPr>
        <w:t>“</w:t>
      </w:r>
      <w:r>
        <w:rPr>
          <w:rFonts w:ascii="宋体" w:hAnsi="宋体"/>
          <w:bCs/>
          <w:sz w:val="24"/>
          <w:szCs w:val="24"/>
          <w:highlight w:val="none"/>
        </w:rPr>
        <w:t>综合评</w:t>
      </w:r>
      <w:r>
        <w:rPr>
          <w:rFonts w:hint="eastAsia" w:ascii="宋体" w:hAnsi="宋体"/>
          <w:bCs/>
          <w:sz w:val="24"/>
          <w:szCs w:val="24"/>
          <w:highlight w:val="none"/>
        </w:rPr>
        <w:t>估</w:t>
      </w:r>
      <w:r>
        <w:rPr>
          <w:rFonts w:ascii="宋体" w:hAnsi="宋体"/>
          <w:bCs/>
          <w:sz w:val="24"/>
          <w:szCs w:val="24"/>
          <w:highlight w:val="none"/>
        </w:rPr>
        <w:t>法</w:t>
      </w:r>
      <w:r>
        <w:rPr>
          <w:rFonts w:hint="eastAsia" w:ascii="宋体" w:hAnsi="宋体"/>
          <w:bCs/>
          <w:sz w:val="24"/>
          <w:szCs w:val="24"/>
          <w:highlight w:val="none"/>
        </w:rPr>
        <w:t>”，先评技术标，再评商务标，满分为100分，其中：技术标50分，商务标50分。</w:t>
      </w:r>
      <w:r>
        <w:rPr>
          <w:rFonts w:ascii="宋体" w:hAnsi="宋体"/>
          <w:bCs/>
          <w:sz w:val="24"/>
          <w:szCs w:val="24"/>
          <w:highlight w:val="none"/>
        </w:rPr>
        <w:t>评标方法及评分标准详见附件《评标办法》。</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二、</w:t>
      </w:r>
      <w:r>
        <w:rPr>
          <w:rFonts w:ascii="宋体" w:hAnsi="宋体"/>
          <w:b/>
          <w:bCs/>
          <w:sz w:val="24"/>
          <w:szCs w:val="24"/>
          <w:highlight w:val="none"/>
        </w:rPr>
        <w:t>评标</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1、评标分</w:t>
      </w:r>
      <w:r>
        <w:rPr>
          <w:rFonts w:ascii="宋体" w:hAnsi="宋体"/>
          <w:bCs/>
          <w:sz w:val="24"/>
          <w:szCs w:val="24"/>
          <w:highlight w:val="none"/>
        </w:rPr>
        <w:t>2</w:t>
      </w:r>
      <w:r>
        <w:rPr>
          <w:rFonts w:hint="eastAsia" w:ascii="宋体" w:hAnsi="宋体"/>
          <w:bCs/>
          <w:sz w:val="24"/>
          <w:szCs w:val="24"/>
          <w:highlight w:val="none"/>
        </w:rPr>
        <w:t>个</w:t>
      </w:r>
      <w:r>
        <w:rPr>
          <w:rFonts w:ascii="宋体" w:hAnsi="宋体"/>
          <w:bCs/>
          <w:sz w:val="24"/>
          <w:szCs w:val="24"/>
          <w:highlight w:val="none"/>
        </w:rPr>
        <w:t>阶段进行，先评技术标，再评商务标。</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技术标评审：</w:t>
      </w:r>
    </w:p>
    <w:p>
      <w:pPr>
        <w:spacing w:line="360" w:lineRule="auto"/>
        <w:ind w:firstLine="480" w:firstLineChars="200"/>
        <w:rPr>
          <w:rFonts w:hint="eastAsia" w:ascii="宋体" w:hAnsi="宋体"/>
          <w:bCs/>
          <w:sz w:val="24"/>
          <w:szCs w:val="24"/>
          <w:highlight w:val="none"/>
        </w:rPr>
      </w:pPr>
      <w:bookmarkStart w:id="87" w:name="_Hlk77373757"/>
      <w:r>
        <w:rPr>
          <w:rFonts w:hint="eastAsia" w:ascii="宋体" w:hAnsi="宋体"/>
          <w:bCs/>
          <w:sz w:val="24"/>
          <w:szCs w:val="24"/>
          <w:highlight w:val="none"/>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highlight w:val="none"/>
        </w:rPr>
        <w:t>入下一步的详细评审</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（2）评标委员会否决无效标或者界定为废标后，有效参选人不足3家的，比选人宣布本次比选失败，</w:t>
      </w:r>
      <w:r>
        <w:rPr>
          <w:rFonts w:ascii="宋体" w:hAnsi="宋体"/>
          <w:bCs/>
          <w:sz w:val="24"/>
          <w:szCs w:val="24"/>
          <w:highlight w:val="none"/>
        </w:rPr>
        <w:t>重新</w:t>
      </w:r>
      <w:r>
        <w:rPr>
          <w:rFonts w:hint="eastAsia" w:ascii="宋体" w:hAnsi="宋体"/>
          <w:bCs/>
          <w:sz w:val="24"/>
          <w:szCs w:val="24"/>
          <w:highlight w:val="none"/>
        </w:rPr>
        <w:t>组织</w:t>
      </w:r>
      <w:r>
        <w:rPr>
          <w:rFonts w:ascii="宋体" w:hAnsi="宋体"/>
          <w:bCs/>
          <w:sz w:val="24"/>
          <w:szCs w:val="24"/>
          <w:highlight w:val="none"/>
        </w:rPr>
        <w:t>比选</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3</w:t>
      </w:r>
      <w:r>
        <w:rPr>
          <w:rFonts w:hint="eastAsia" w:ascii="宋体" w:hAnsi="宋体"/>
          <w:bCs/>
          <w:sz w:val="24"/>
          <w:szCs w:val="24"/>
          <w:highlight w:val="none"/>
        </w:rPr>
        <w:t>）技术标初步审查完成后，</w:t>
      </w:r>
      <w:r>
        <w:rPr>
          <w:rFonts w:ascii="宋体" w:hAnsi="宋体"/>
          <w:bCs/>
          <w:sz w:val="24"/>
          <w:szCs w:val="24"/>
          <w:highlight w:val="none"/>
        </w:rPr>
        <w:t>参选人按照</w:t>
      </w:r>
      <w:r>
        <w:rPr>
          <w:rFonts w:hint="eastAsia" w:ascii="宋体" w:hAnsi="宋体"/>
          <w:bCs/>
          <w:sz w:val="24"/>
          <w:szCs w:val="24"/>
          <w:highlight w:val="none"/>
        </w:rPr>
        <w:t>比选</w:t>
      </w:r>
      <w:r>
        <w:rPr>
          <w:rFonts w:ascii="宋体" w:hAnsi="宋体"/>
          <w:bCs/>
          <w:sz w:val="24"/>
          <w:szCs w:val="24"/>
          <w:highlight w:val="none"/>
        </w:rPr>
        <w:t>人通知的时间在指定地点进行现场陈述答辩。各参选人的陈述答辩按</w:t>
      </w:r>
      <w:r>
        <w:rPr>
          <w:rFonts w:hint="eastAsia" w:ascii="宋体" w:hAnsi="宋体"/>
          <w:bCs/>
          <w:sz w:val="24"/>
          <w:szCs w:val="24"/>
          <w:highlight w:val="none"/>
        </w:rPr>
        <w:t>签到的</w:t>
      </w:r>
      <w:r>
        <w:rPr>
          <w:rFonts w:ascii="宋体" w:hAnsi="宋体"/>
          <w:bCs/>
          <w:sz w:val="24"/>
          <w:szCs w:val="24"/>
          <w:highlight w:val="none"/>
        </w:rPr>
        <w:t>先后时间确定顺序，逐一单独进行。</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4）主陈述答辩人必须是参选人拟派的项目</w:t>
      </w:r>
      <w:r>
        <w:rPr>
          <w:rFonts w:hint="eastAsia" w:ascii="宋体" w:hAnsi="宋体"/>
          <w:bCs/>
          <w:sz w:val="24"/>
          <w:szCs w:val="24"/>
          <w:highlight w:val="none"/>
        </w:rPr>
        <w:t>总监</w:t>
      </w:r>
      <w:r>
        <w:rPr>
          <w:rFonts w:ascii="宋体" w:hAnsi="宋体"/>
          <w:bCs/>
          <w:sz w:val="24"/>
          <w:szCs w:val="24"/>
          <w:highlight w:val="none"/>
        </w:rPr>
        <w:t>，</w:t>
      </w:r>
      <w:r>
        <w:rPr>
          <w:rFonts w:hint="eastAsia" w:ascii="宋体" w:hAnsi="宋体"/>
          <w:bCs/>
          <w:sz w:val="24"/>
          <w:szCs w:val="24"/>
          <w:highlight w:val="none"/>
        </w:rPr>
        <w:t>项目组成员</w:t>
      </w:r>
      <w:r>
        <w:rPr>
          <w:rFonts w:ascii="宋体" w:hAnsi="宋体"/>
          <w:bCs/>
          <w:sz w:val="24"/>
          <w:szCs w:val="24"/>
          <w:highlight w:val="none"/>
        </w:rPr>
        <w:t>作为辅助答辩人；非以上人员不得进入陈述答辩现场。参加答辩的所有人员须核对身份，请答辩人员务必携带有效的身份证明材料。</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参选人先进行</w:t>
      </w:r>
      <w:r>
        <w:rPr>
          <w:rFonts w:hint="eastAsia" w:ascii="宋体" w:hAnsi="宋体"/>
          <w:bCs/>
          <w:sz w:val="24"/>
          <w:szCs w:val="24"/>
          <w:highlight w:val="none"/>
          <w:lang w:val="en-US" w:eastAsia="zh-CN"/>
        </w:rPr>
        <w:t>15</w:t>
      </w:r>
      <w:r>
        <w:rPr>
          <w:rFonts w:ascii="宋体" w:hAnsi="宋体"/>
          <w:bCs/>
          <w:sz w:val="24"/>
          <w:szCs w:val="24"/>
          <w:highlight w:val="none"/>
        </w:rPr>
        <w:t>分钟以内的陈述，包括：</w:t>
      </w:r>
      <w:r>
        <w:rPr>
          <w:rFonts w:hint="eastAsia" w:ascii="宋体" w:hAnsi="宋体" w:eastAsia="宋体" w:cs="Times New Roman"/>
          <w:color w:val="auto"/>
          <w:kern w:val="0"/>
          <w:sz w:val="24"/>
          <w:szCs w:val="24"/>
          <w:highlight w:val="none"/>
          <w:lang w:val="zh-CN" w:eastAsia="zh-CN" w:bidi="ar-SA"/>
        </w:rPr>
        <w:t>《</w:t>
      </w:r>
      <w:r>
        <w:rPr>
          <w:rFonts w:hint="eastAsia" w:ascii="宋体" w:hAnsi="宋体" w:eastAsia="宋体" w:cs="Times New Roman"/>
          <w:color w:val="auto"/>
          <w:kern w:val="0"/>
          <w:sz w:val="24"/>
          <w:szCs w:val="24"/>
          <w:highlight w:val="none"/>
          <w:lang w:val="zh-TW" w:eastAsia="zh-TW" w:bidi="ar-SA"/>
        </w:rPr>
        <w:t>深铁瑞城系列营销活动与现场包装</w:t>
      </w:r>
      <w:r>
        <w:rPr>
          <w:rFonts w:hint="eastAsia" w:ascii="宋体" w:hAnsi="宋体" w:eastAsia="宋体" w:cs="Times New Roman"/>
          <w:color w:val="auto"/>
          <w:kern w:val="0"/>
          <w:sz w:val="24"/>
          <w:szCs w:val="24"/>
          <w:highlight w:val="none"/>
          <w:lang w:val="en-US" w:eastAsia="zh-CN" w:bidi="ar-SA"/>
        </w:rPr>
        <w:t>服务</w:t>
      </w:r>
      <w:r>
        <w:rPr>
          <w:rFonts w:hint="eastAsia" w:ascii="宋体" w:hAnsi="宋体" w:eastAsia="宋体" w:cs="Times New Roman"/>
          <w:color w:val="auto"/>
          <w:kern w:val="0"/>
          <w:sz w:val="24"/>
          <w:szCs w:val="24"/>
          <w:highlight w:val="none"/>
          <w:lang w:val="zh-TW" w:eastAsia="zh-TW" w:bidi="ar-SA"/>
        </w:rPr>
        <w:t>方案</w:t>
      </w:r>
      <w:r>
        <w:rPr>
          <w:rFonts w:hint="eastAsia" w:ascii="宋体" w:hAnsi="宋体" w:eastAsia="宋体" w:cs="Times New Roman"/>
          <w:color w:val="auto"/>
          <w:kern w:val="0"/>
          <w:sz w:val="24"/>
          <w:szCs w:val="24"/>
          <w:highlight w:val="none"/>
          <w:lang w:val="zh-CN" w:eastAsia="zh-CN" w:bidi="ar-SA"/>
        </w:rPr>
        <w:t>》</w:t>
      </w:r>
      <w:r>
        <w:rPr>
          <w:rFonts w:ascii="宋体" w:hAnsi="宋体"/>
          <w:bCs/>
          <w:sz w:val="24"/>
          <w:szCs w:val="24"/>
          <w:highlight w:val="none"/>
        </w:rPr>
        <w:t>，可以辅助使用投影演示等形式，但不能再提供任何书面资料。</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陈述后接着进行</w:t>
      </w:r>
      <w:r>
        <w:rPr>
          <w:rFonts w:hint="eastAsia" w:ascii="宋体" w:hAnsi="宋体"/>
          <w:bCs/>
          <w:sz w:val="24"/>
          <w:szCs w:val="24"/>
          <w:highlight w:val="none"/>
          <w:lang w:val="en-US" w:eastAsia="zh-CN"/>
        </w:rPr>
        <w:t>5</w:t>
      </w:r>
      <w:r>
        <w:rPr>
          <w:rFonts w:ascii="宋体" w:hAnsi="宋体"/>
          <w:bCs/>
          <w:sz w:val="24"/>
          <w:szCs w:val="24"/>
          <w:highlight w:val="none"/>
        </w:rPr>
        <w:t>分钟以内的答辩，由参选人回答评委提出的问题。</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现场陈述答辩结束后，参选人应立即离开现场，不得与其他参选人交谈，透露任何有关参选文件和陈述答辩的内容。一经发现，其参与资格将被取消。</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5</w:t>
      </w:r>
      <w:r>
        <w:rPr>
          <w:rFonts w:hint="eastAsia" w:ascii="宋体" w:hAnsi="宋体"/>
          <w:bCs/>
          <w:sz w:val="24"/>
          <w:szCs w:val="24"/>
          <w:highlight w:val="none"/>
        </w:rPr>
        <w:t>）</w:t>
      </w:r>
      <w:r>
        <w:rPr>
          <w:rFonts w:ascii="宋体" w:hAnsi="宋体"/>
          <w:bCs/>
          <w:sz w:val="24"/>
          <w:szCs w:val="24"/>
          <w:highlight w:val="none"/>
        </w:rPr>
        <w:t>参选人在陈述答辩过程中，可以对参选文件进行解释、说明、澄清，但不得对人员安排、报价等实质性内容做任何更改。如陈述答辩的内容与</w:t>
      </w:r>
      <w:r>
        <w:rPr>
          <w:rFonts w:hint="eastAsia" w:ascii="宋体" w:hAnsi="宋体"/>
          <w:bCs/>
          <w:sz w:val="24"/>
          <w:szCs w:val="24"/>
          <w:highlight w:val="none"/>
        </w:rPr>
        <w:t>参选</w:t>
      </w:r>
      <w:r>
        <w:rPr>
          <w:rFonts w:ascii="宋体" w:hAnsi="宋体"/>
          <w:bCs/>
          <w:sz w:val="24"/>
          <w:szCs w:val="24"/>
          <w:highlight w:val="none"/>
        </w:rPr>
        <w:t>文件的内容之间有冲突、矛盾的，除陈述答辩对</w:t>
      </w:r>
      <w:r>
        <w:rPr>
          <w:rFonts w:hint="eastAsia" w:ascii="宋体" w:hAnsi="宋体"/>
          <w:bCs/>
          <w:sz w:val="24"/>
          <w:szCs w:val="24"/>
          <w:highlight w:val="none"/>
        </w:rPr>
        <w:t>参选</w:t>
      </w:r>
      <w:r>
        <w:rPr>
          <w:rFonts w:ascii="宋体" w:hAnsi="宋体"/>
          <w:bCs/>
          <w:sz w:val="24"/>
          <w:szCs w:val="24"/>
          <w:highlight w:val="none"/>
        </w:rPr>
        <w:t>文件中的错漏进行的修正、补充外，均以</w:t>
      </w:r>
      <w:r>
        <w:rPr>
          <w:rFonts w:hint="eastAsia" w:ascii="宋体" w:hAnsi="宋体"/>
          <w:bCs/>
          <w:sz w:val="24"/>
          <w:szCs w:val="24"/>
          <w:highlight w:val="none"/>
        </w:rPr>
        <w:t>参选</w:t>
      </w:r>
      <w:r>
        <w:rPr>
          <w:rFonts w:ascii="宋体" w:hAnsi="宋体"/>
          <w:bCs/>
          <w:sz w:val="24"/>
          <w:szCs w:val="24"/>
          <w:highlight w:val="none"/>
        </w:rPr>
        <w:t>文件为准。</w:t>
      </w:r>
    </w:p>
    <w:p>
      <w:pPr>
        <w:spacing w:line="360" w:lineRule="auto"/>
        <w:ind w:firstLine="480" w:firstLineChars="200"/>
        <w:rPr>
          <w:rFonts w:hint="eastAsia"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6）</w:t>
      </w:r>
      <w:r>
        <w:rPr>
          <w:rFonts w:hint="eastAsia" w:ascii="宋体" w:hAnsi="宋体"/>
          <w:bCs/>
          <w:sz w:val="24"/>
          <w:szCs w:val="24"/>
          <w:highlight w:val="none"/>
        </w:rPr>
        <w:t>参选人</w:t>
      </w:r>
      <w:r>
        <w:rPr>
          <w:rFonts w:ascii="宋体" w:hAnsi="宋体"/>
          <w:bCs/>
          <w:sz w:val="24"/>
          <w:szCs w:val="24"/>
          <w:highlight w:val="none"/>
        </w:rPr>
        <w:t>完成陈述</w:t>
      </w:r>
      <w:r>
        <w:rPr>
          <w:rFonts w:hint="eastAsia" w:ascii="宋体" w:hAnsi="宋体"/>
          <w:bCs/>
          <w:sz w:val="24"/>
          <w:szCs w:val="24"/>
          <w:highlight w:val="none"/>
        </w:rPr>
        <w:t>答辩</w:t>
      </w:r>
      <w:r>
        <w:rPr>
          <w:rFonts w:ascii="宋体" w:hAnsi="宋体"/>
          <w:bCs/>
          <w:sz w:val="24"/>
          <w:szCs w:val="24"/>
          <w:highlight w:val="none"/>
        </w:rPr>
        <w:t>后，</w:t>
      </w:r>
      <w:r>
        <w:rPr>
          <w:rFonts w:hint="eastAsia" w:ascii="宋体" w:hAnsi="宋体"/>
          <w:bCs/>
          <w:sz w:val="24"/>
          <w:szCs w:val="24"/>
          <w:highlight w:val="none"/>
        </w:rPr>
        <w:t>评标委员会按照评审标准对技术标进行详细评审（详见评审附表），评审完成后，评审分数不得再更改。技术标得分前4名的有效参选人方可进入下一阶段商务标的评审。</w:t>
      </w:r>
    </w:p>
    <w:bookmarkEnd w:id="87"/>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pStyle w:val="176"/>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（1）第二阶段，技术标评审结束后，将技术标前4名参选人的商务标移交至评标委员会，评标委员会对商务标部分进行初步评审（有效性审查），只有通过初步评审的商务标文件才有资格进入下一步的详细评审。</w:t>
      </w:r>
    </w:p>
    <w:p>
      <w:pPr>
        <w:pStyle w:val="176"/>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（2）经商务标初步审查，评标委员会作出无效标或者废标处理，致有效参选人不足3家，比选人宣布本次比选失败，重新组织比选。</w:t>
      </w:r>
    </w:p>
    <w:p>
      <w:pPr>
        <w:pStyle w:val="176"/>
        <w:tabs>
          <w:tab w:val="left" w:pos="993"/>
        </w:tabs>
        <w:spacing w:line="360" w:lineRule="auto"/>
        <w:ind w:firstLine="424" w:firstLineChars="177"/>
        <w:rPr>
          <w:rFonts w:hint="eastAsia" w:ascii="宋体" w:hAnsi="宋体"/>
          <w:sz w:val="24"/>
          <w:szCs w:val="24"/>
          <w:highlight w:val="none"/>
        </w:rPr>
      </w:pPr>
      <w:r>
        <w:rPr>
          <w:rFonts w:hint="eastAsia" w:ascii="宋体" w:hAnsi="宋体"/>
          <w:sz w:val="24"/>
          <w:szCs w:val="24"/>
          <w:highlight w:val="none"/>
        </w:rPr>
        <w:t>（3）参选人</w:t>
      </w:r>
      <w:r>
        <w:rPr>
          <w:rFonts w:ascii="宋体" w:hAnsi="宋体"/>
          <w:sz w:val="24"/>
          <w:szCs w:val="24"/>
          <w:highlight w:val="none"/>
        </w:rPr>
        <w:t>的</w:t>
      </w:r>
      <w:r>
        <w:rPr>
          <w:rFonts w:hint="eastAsia" w:ascii="宋体" w:hAnsi="宋体"/>
          <w:sz w:val="24"/>
          <w:szCs w:val="24"/>
          <w:highlight w:val="none"/>
        </w:rPr>
        <w:t>参选</w:t>
      </w:r>
      <w:r>
        <w:rPr>
          <w:rFonts w:ascii="宋体" w:hAnsi="宋体"/>
          <w:sz w:val="24"/>
          <w:szCs w:val="24"/>
          <w:highlight w:val="none"/>
        </w:rPr>
        <w:t>报价中如出现算术错误，将按以下方法进行调整：</w:t>
      </w:r>
      <w:r>
        <w:rPr>
          <w:rFonts w:ascii="宋体" w:hAnsi="宋体"/>
          <w:sz w:val="24"/>
          <w:szCs w:val="24"/>
          <w:highlight w:val="none"/>
        </w:rPr>
        <w:br w:type="textWrapping"/>
      </w:r>
      <w:r>
        <w:rPr>
          <w:rFonts w:hint="eastAsia" w:ascii="宋体" w:hAnsi="宋体"/>
          <w:sz w:val="24"/>
          <w:szCs w:val="24"/>
          <w:highlight w:val="none"/>
        </w:rPr>
        <w:t>①参选</w:t>
      </w:r>
      <w:r>
        <w:rPr>
          <w:rFonts w:ascii="宋体" w:hAnsi="宋体"/>
          <w:sz w:val="24"/>
          <w:szCs w:val="24"/>
          <w:highlight w:val="none"/>
        </w:rPr>
        <w:t>文件中大写金额与小写金额不一致的，以大写金额为准；</w:t>
      </w:r>
      <w:r>
        <w:rPr>
          <w:rFonts w:ascii="宋体" w:hAnsi="宋体"/>
          <w:sz w:val="24"/>
          <w:szCs w:val="24"/>
          <w:highlight w:val="none"/>
        </w:rPr>
        <w:br w:type="textWrapping"/>
      </w:r>
      <w:r>
        <w:rPr>
          <w:rFonts w:hint="eastAsia" w:ascii="宋体" w:hAnsi="宋体"/>
          <w:sz w:val="24"/>
          <w:szCs w:val="24"/>
          <w:highlight w:val="none"/>
        </w:rPr>
        <w:t>②</w:t>
      </w:r>
      <w:r>
        <w:rPr>
          <w:rFonts w:ascii="宋体" w:hAnsi="宋体"/>
          <w:sz w:val="24"/>
          <w:szCs w:val="24"/>
          <w:highlight w:val="none"/>
        </w:rPr>
        <w:t>总价金额与按单价计算的总金额不一致的，以单价计算的总金额为准。除非单价有明显的小数点错误，此时应以合价金额为准，调整单价；</w:t>
      </w:r>
      <w:r>
        <w:rPr>
          <w:rFonts w:ascii="宋体" w:hAnsi="宋体"/>
          <w:sz w:val="24"/>
          <w:szCs w:val="24"/>
          <w:highlight w:val="none"/>
        </w:rPr>
        <w:br w:type="textWrapping"/>
      </w:r>
      <w:r>
        <w:rPr>
          <w:rFonts w:ascii="宋体" w:hAnsi="宋体"/>
          <w:sz w:val="24"/>
          <w:szCs w:val="24"/>
          <w:highlight w:val="none"/>
        </w:rPr>
        <w:t xml:space="preserve">    按照本规定的调整方法确定的调整后报价，须取得</w:t>
      </w:r>
      <w:r>
        <w:rPr>
          <w:rFonts w:hint="eastAsia" w:ascii="宋体" w:hAnsi="宋体"/>
          <w:sz w:val="24"/>
          <w:szCs w:val="24"/>
          <w:highlight w:val="none"/>
        </w:rPr>
        <w:t>参选</w:t>
      </w:r>
      <w:r>
        <w:rPr>
          <w:rFonts w:ascii="宋体" w:hAnsi="宋体"/>
          <w:sz w:val="24"/>
          <w:szCs w:val="24"/>
          <w:highlight w:val="none"/>
        </w:rPr>
        <w:t>人同意并书面签字确认。如果</w:t>
      </w:r>
      <w:r>
        <w:rPr>
          <w:rFonts w:hint="eastAsia" w:ascii="宋体" w:hAnsi="宋体"/>
          <w:sz w:val="24"/>
          <w:szCs w:val="24"/>
          <w:highlight w:val="none"/>
        </w:rPr>
        <w:t>参选</w:t>
      </w:r>
      <w:r>
        <w:rPr>
          <w:rFonts w:ascii="宋体" w:hAnsi="宋体"/>
          <w:sz w:val="24"/>
          <w:szCs w:val="24"/>
          <w:highlight w:val="none"/>
        </w:rPr>
        <w:t>人拒不接受调整方法以及调整后的报价的，其</w:t>
      </w:r>
      <w:r>
        <w:rPr>
          <w:rFonts w:hint="eastAsia" w:ascii="宋体" w:hAnsi="宋体"/>
          <w:sz w:val="24"/>
          <w:szCs w:val="24"/>
          <w:highlight w:val="none"/>
        </w:rPr>
        <w:t>参选</w:t>
      </w:r>
      <w:r>
        <w:rPr>
          <w:rFonts w:ascii="宋体" w:hAnsi="宋体"/>
          <w:sz w:val="24"/>
          <w:szCs w:val="24"/>
          <w:highlight w:val="none"/>
        </w:rPr>
        <w:t>将被拒绝。</w:t>
      </w:r>
      <w:r>
        <w:rPr>
          <w:rFonts w:ascii="宋体" w:hAnsi="宋体"/>
          <w:sz w:val="24"/>
          <w:szCs w:val="24"/>
          <w:highlight w:val="none"/>
        </w:rPr>
        <w:br w:type="textWrapping"/>
      </w:r>
      <w:r>
        <w:rPr>
          <w:rFonts w:ascii="宋体" w:hAnsi="宋体"/>
          <w:sz w:val="24"/>
          <w:szCs w:val="24"/>
          <w:highlight w:val="none"/>
        </w:rPr>
        <w:t xml:space="preserve">    </w:t>
      </w:r>
      <w:r>
        <w:rPr>
          <w:rFonts w:hint="eastAsia" w:ascii="宋体" w:hAnsi="宋体"/>
          <w:sz w:val="24"/>
          <w:szCs w:val="24"/>
          <w:highlight w:val="none"/>
        </w:rPr>
        <w:t>中选</w:t>
      </w:r>
      <w:r>
        <w:rPr>
          <w:rFonts w:ascii="宋体" w:hAnsi="宋体"/>
          <w:sz w:val="24"/>
          <w:szCs w:val="24"/>
          <w:highlight w:val="none"/>
        </w:rPr>
        <w:t>人的</w:t>
      </w:r>
      <w:r>
        <w:rPr>
          <w:rFonts w:hint="eastAsia" w:ascii="宋体" w:hAnsi="宋体"/>
          <w:sz w:val="24"/>
          <w:szCs w:val="24"/>
          <w:highlight w:val="none"/>
        </w:rPr>
        <w:t>参选</w:t>
      </w:r>
      <w:r>
        <w:rPr>
          <w:rFonts w:ascii="宋体" w:hAnsi="宋体"/>
          <w:sz w:val="24"/>
          <w:szCs w:val="24"/>
          <w:highlight w:val="none"/>
        </w:rPr>
        <w:t>报价是按照本节规定进行了调整的，其中</w:t>
      </w:r>
      <w:r>
        <w:rPr>
          <w:rFonts w:hint="eastAsia" w:ascii="宋体" w:hAnsi="宋体"/>
          <w:sz w:val="24"/>
          <w:szCs w:val="24"/>
          <w:highlight w:val="none"/>
        </w:rPr>
        <w:t>选</w:t>
      </w:r>
      <w:r>
        <w:rPr>
          <w:rFonts w:ascii="宋体" w:hAnsi="宋体"/>
          <w:sz w:val="24"/>
          <w:szCs w:val="24"/>
          <w:highlight w:val="none"/>
        </w:rPr>
        <w:t>价按就低不就高的原则确定。如果</w:t>
      </w:r>
      <w:r>
        <w:rPr>
          <w:rFonts w:hint="eastAsia" w:ascii="宋体" w:hAnsi="宋体"/>
          <w:sz w:val="24"/>
          <w:szCs w:val="24"/>
          <w:highlight w:val="none"/>
        </w:rPr>
        <w:t>参选</w:t>
      </w:r>
      <w:r>
        <w:rPr>
          <w:rFonts w:ascii="宋体" w:hAnsi="宋体"/>
          <w:sz w:val="24"/>
          <w:szCs w:val="24"/>
          <w:highlight w:val="none"/>
        </w:rPr>
        <w:t>人拒不接受的，其</w:t>
      </w:r>
      <w:r>
        <w:rPr>
          <w:rFonts w:hint="eastAsia" w:ascii="宋体" w:hAnsi="宋体"/>
          <w:sz w:val="24"/>
          <w:szCs w:val="24"/>
          <w:highlight w:val="none"/>
        </w:rPr>
        <w:t>参选</w:t>
      </w:r>
      <w:r>
        <w:rPr>
          <w:rFonts w:ascii="宋体" w:hAnsi="宋体"/>
          <w:sz w:val="24"/>
          <w:szCs w:val="24"/>
          <w:highlight w:val="none"/>
        </w:rPr>
        <w:t>将被拒绝。</w:t>
      </w:r>
      <w:r>
        <w:rPr>
          <w:rFonts w:ascii="宋体" w:hAnsi="宋体"/>
          <w:sz w:val="24"/>
          <w:szCs w:val="24"/>
          <w:highlight w:val="none"/>
        </w:rPr>
        <w:br w:type="textWrapping"/>
      </w:r>
      <w:r>
        <w:rPr>
          <w:rFonts w:ascii="宋体" w:hAnsi="宋体"/>
          <w:sz w:val="24"/>
          <w:szCs w:val="24"/>
          <w:highlight w:val="none"/>
        </w:rPr>
        <w:t xml:space="preserve">    </w:t>
      </w:r>
      <w:r>
        <w:rPr>
          <w:rFonts w:hint="eastAsia" w:ascii="宋体" w:hAnsi="宋体"/>
          <w:sz w:val="24"/>
          <w:szCs w:val="24"/>
          <w:highlight w:val="none"/>
        </w:rPr>
        <w:t>参选</w:t>
      </w:r>
      <w:r>
        <w:rPr>
          <w:rFonts w:ascii="宋体" w:hAnsi="宋体"/>
          <w:sz w:val="24"/>
          <w:szCs w:val="24"/>
          <w:highlight w:val="none"/>
        </w:rPr>
        <w:t>人的</w:t>
      </w:r>
      <w:r>
        <w:rPr>
          <w:rFonts w:hint="eastAsia" w:ascii="宋体" w:hAnsi="宋体"/>
          <w:sz w:val="24"/>
          <w:szCs w:val="24"/>
          <w:highlight w:val="none"/>
        </w:rPr>
        <w:t>参选</w:t>
      </w:r>
      <w:r>
        <w:rPr>
          <w:rFonts w:ascii="宋体" w:hAnsi="宋体"/>
          <w:sz w:val="24"/>
          <w:szCs w:val="24"/>
          <w:highlight w:val="none"/>
        </w:rPr>
        <w:t>报价的总价小于调整后的报价，中标价即为投标人的</w:t>
      </w:r>
      <w:r>
        <w:rPr>
          <w:rFonts w:hint="eastAsia" w:ascii="宋体" w:hAnsi="宋体"/>
          <w:sz w:val="24"/>
          <w:szCs w:val="24"/>
          <w:highlight w:val="none"/>
        </w:rPr>
        <w:t>参选</w:t>
      </w:r>
      <w:r>
        <w:rPr>
          <w:rFonts w:ascii="宋体" w:hAnsi="宋体"/>
          <w:sz w:val="24"/>
          <w:szCs w:val="24"/>
          <w:highlight w:val="none"/>
        </w:rPr>
        <w:t>报价的总价；</w:t>
      </w:r>
      <w:r>
        <w:rPr>
          <w:rFonts w:hint="eastAsia" w:ascii="宋体" w:hAnsi="宋体"/>
          <w:sz w:val="24"/>
          <w:szCs w:val="24"/>
          <w:highlight w:val="none"/>
        </w:rPr>
        <w:t>参选</w:t>
      </w:r>
      <w:r>
        <w:rPr>
          <w:rFonts w:ascii="宋体" w:hAnsi="宋体"/>
          <w:sz w:val="24"/>
          <w:szCs w:val="24"/>
          <w:highlight w:val="none"/>
        </w:rPr>
        <w:t>报价的总价大于调整后的报价，中</w:t>
      </w:r>
      <w:r>
        <w:rPr>
          <w:rFonts w:hint="eastAsia" w:ascii="宋体" w:hAnsi="宋体"/>
          <w:sz w:val="24"/>
          <w:szCs w:val="24"/>
          <w:highlight w:val="none"/>
        </w:rPr>
        <w:t>选</w:t>
      </w:r>
      <w:r>
        <w:rPr>
          <w:rFonts w:ascii="宋体" w:hAnsi="宋体"/>
          <w:sz w:val="24"/>
          <w:szCs w:val="24"/>
          <w:highlight w:val="none"/>
        </w:rPr>
        <w:t>价仍为</w:t>
      </w:r>
      <w:r>
        <w:rPr>
          <w:rFonts w:hint="eastAsia" w:ascii="宋体" w:hAnsi="宋体"/>
          <w:sz w:val="24"/>
          <w:szCs w:val="24"/>
          <w:highlight w:val="none"/>
        </w:rPr>
        <w:t>参选</w:t>
      </w:r>
      <w:r>
        <w:rPr>
          <w:rFonts w:ascii="宋体" w:hAnsi="宋体"/>
          <w:sz w:val="24"/>
          <w:szCs w:val="24"/>
          <w:highlight w:val="none"/>
        </w:rPr>
        <w:t>人的</w:t>
      </w:r>
      <w:r>
        <w:rPr>
          <w:rFonts w:hint="eastAsia" w:ascii="宋体" w:hAnsi="宋体"/>
          <w:sz w:val="24"/>
          <w:szCs w:val="24"/>
          <w:highlight w:val="none"/>
        </w:rPr>
        <w:t>参选</w:t>
      </w:r>
      <w:r>
        <w:rPr>
          <w:rFonts w:ascii="宋体" w:hAnsi="宋体"/>
          <w:sz w:val="24"/>
          <w:szCs w:val="24"/>
          <w:highlight w:val="none"/>
        </w:rPr>
        <w:t>报价的总价，调整后的报价与</w:t>
      </w:r>
      <w:r>
        <w:rPr>
          <w:rFonts w:hint="eastAsia" w:ascii="宋体" w:hAnsi="宋体"/>
          <w:sz w:val="24"/>
          <w:szCs w:val="24"/>
          <w:highlight w:val="none"/>
        </w:rPr>
        <w:t>参选</w:t>
      </w:r>
      <w:r>
        <w:rPr>
          <w:rFonts w:ascii="宋体" w:hAnsi="宋体"/>
          <w:sz w:val="24"/>
          <w:szCs w:val="24"/>
          <w:highlight w:val="none"/>
        </w:rPr>
        <w:t>报价的总价之间的差值部分则计入暂列金额。</w:t>
      </w:r>
    </w:p>
    <w:p>
      <w:pPr>
        <w:spacing w:line="360" w:lineRule="auto"/>
        <w:ind w:firstLine="283" w:firstLineChars="118"/>
        <w:rPr>
          <w:rFonts w:hint="eastAsia" w:ascii="宋体" w:hAnsi="宋体"/>
          <w:sz w:val="24"/>
          <w:szCs w:val="24"/>
          <w:highlight w:val="none"/>
        </w:rPr>
      </w:pPr>
      <w:r>
        <w:rPr>
          <w:rFonts w:hint="eastAsia" w:ascii="宋体" w:hAnsi="宋体"/>
          <w:sz w:val="24"/>
          <w:szCs w:val="24"/>
          <w:highlight w:val="none"/>
        </w:rPr>
        <w:t>（4）商务标初步审查后，评标委员会按照商务标计算公式，完成商务标分数计算。</w:t>
      </w:r>
    </w:p>
    <w:p>
      <w:pPr>
        <w:spacing w:line="360" w:lineRule="auto"/>
        <w:ind w:firstLine="283" w:firstLineChars="118"/>
        <w:rPr>
          <w:rFonts w:ascii="宋体" w:hAnsi="宋体" w:cs="宋体"/>
          <w:kern w:val="0"/>
          <w:sz w:val="24"/>
          <w:szCs w:val="24"/>
          <w:highlight w:val="none"/>
        </w:rPr>
      </w:pPr>
      <w:r>
        <w:rPr>
          <w:rFonts w:hint="eastAsia" w:ascii="宋体" w:hAnsi="宋体"/>
          <w:sz w:val="24"/>
          <w:szCs w:val="24"/>
          <w:highlight w:val="none"/>
        </w:rPr>
        <w:t>（5）</w:t>
      </w:r>
      <w:bookmarkStart w:id="88" w:name="_Hlk77376032"/>
      <w:r>
        <w:rPr>
          <w:rFonts w:hint="eastAsia" w:ascii="宋体" w:hAnsi="宋体" w:cs="宋体"/>
          <w:kern w:val="0"/>
          <w:sz w:val="24"/>
          <w:szCs w:val="24"/>
          <w:highlight w:val="none"/>
        </w:rPr>
        <w:t>若各参选人的报价，如出现税率不一致的情况，则以不含税总价作为参选人的报价进行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；若税率一致，则以含税总价作为参选人的报价进行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w:t>
      </w:r>
    </w:p>
    <w:p>
      <w:pPr>
        <w:spacing w:line="360" w:lineRule="auto"/>
        <w:ind w:firstLine="403" w:firstLineChars="168"/>
        <w:rPr>
          <w:rFonts w:hint="eastAsia" w:ascii="宋体" w:hAnsi="宋体"/>
          <w:sz w:val="24"/>
          <w:szCs w:val="24"/>
          <w:highlight w:val="none"/>
        </w:rPr>
      </w:pPr>
      <w:r>
        <w:rPr>
          <w:rFonts w:ascii="宋体" w:hAnsi="宋体" w:cs="宋体"/>
          <w:kern w:val="0"/>
          <w:sz w:val="24"/>
          <w:szCs w:val="24"/>
          <w:highlight w:val="none"/>
        </w:rPr>
        <w:t>(</w:t>
      </w:r>
      <w:r>
        <w:rPr>
          <w:rFonts w:hint="eastAsia" w:ascii="宋体" w:hAnsi="宋体" w:cs="宋体"/>
          <w:kern w:val="0"/>
          <w:sz w:val="24"/>
          <w:szCs w:val="24"/>
          <w:highlight w:val="none"/>
        </w:rPr>
        <w:t>6</w:t>
      </w:r>
      <w:r>
        <w:rPr>
          <w:rFonts w:ascii="宋体" w:hAnsi="宋体" w:cs="宋体"/>
          <w:kern w:val="0"/>
          <w:sz w:val="24"/>
          <w:szCs w:val="24"/>
          <w:highlight w:val="none"/>
        </w:rPr>
        <w:t>)</w:t>
      </w:r>
      <w:r>
        <w:rPr>
          <w:rFonts w:hint="eastAsia" w:ascii="宋体" w:hAnsi="宋体"/>
          <w:sz w:val="24"/>
          <w:szCs w:val="24"/>
          <w:highlight w:val="none"/>
        </w:rPr>
        <w:t>其他情况均按照价格审核计算后，以不利于参选人的原则予以调整。</w:t>
      </w:r>
    </w:p>
    <w:bookmarkEnd w:id="88"/>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sz w:val="24"/>
          <w:highlight w:val="none"/>
        </w:rPr>
        <w:t>并形成评标报告。</w:t>
      </w:r>
    </w:p>
    <w:p>
      <w:pPr>
        <w:pStyle w:val="5"/>
        <w:spacing w:after="0" w:line="360" w:lineRule="auto"/>
        <w:rPr>
          <w:rFonts w:ascii="宋体" w:hAnsi="宋体" w:eastAsia="宋体"/>
          <w:b/>
          <w:highlight w:val="none"/>
        </w:rPr>
      </w:pPr>
      <w:bookmarkStart w:id="89" w:name="_Toc290560899"/>
      <w:bookmarkStart w:id="90" w:name="_Toc518494137"/>
      <w:bookmarkStart w:id="91" w:name="_Toc197404913"/>
      <w:bookmarkStart w:id="92" w:name="_Toc57731975"/>
      <w:bookmarkStart w:id="93" w:name="_Toc388259588"/>
      <w:bookmarkStart w:id="94" w:name="_Toc434234592"/>
      <w:r>
        <w:rPr>
          <w:rFonts w:ascii="宋体" w:hAnsi="宋体" w:eastAsia="宋体"/>
          <w:b/>
          <w:highlight w:val="none"/>
        </w:rPr>
        <w:t>第</w:t>
      </w:r>
      <w:r>
        <w:rPr>
          <w:rFonts w:hint="eastAsia" w:ascii="宋体" w:hAnsi="宋体" w:eastAsia="宋体"/>
          <w:b/>
          <w:highlight w:val="none"/>
        </w:rPr>
        <w:t>九</w:t>
      </w:r>
      <w:r>
        <w:rPr>
          <w:rFonts w:ascii="宋体" w:hAnsi="宋体" w:eastAsia="宋体"/>
          <w:b/>
          <w:highlight w:val="none"/>
        </w:rPr>
        <w:t>章  确定中选人</w:t>
      </w:r>
      <w:bookmarkEnd w:id="89"/>
      <w:bookmarkEnd w:id="90"/>
      <w:bookmarkEnd w:id="91"/>
      <w:bookmarkEnd w:id="92"/>
      <w:bookmarkEnd w:id="93"/>
      <w:bookmarkEnd w:id="94"/>
    </w:p>
    <w:p>
      <w:pPr>
        <w:pStyle w:val="24"/>
        <w:adjustRightInd/>
        <w:snapToGrid w:val="0"/>
        <w:spacing w:line="360" w:lineRule="auto"/>
        <w:ind w:firstLine="480" w:firstLineChars="200"/>
        <w:textAlignment w:val="auto"/>
        <w:rPr>
          <w:rFonts w:hAnsi="宋体"/>
          <w:bCs/>
          <w:sz w:val="24"/>
          <w:szCs w:val="22"/>
          <w:highlight w:val="none"/>
        </w:rPr>
      </w:pPr>
      <w:r>
        <w:rPr>
          <w:rFonts w:hint="eastAsia" w:hAnsi="宋体"/>
          <w:bCs/>
          <w:sz w:val="24"/>
          <w:highlight w:val="none"/>
        </w:rPr>
        <w:t>一、</w:t>
      </w:r>
      <w:r>
        <w:rPr>
          <w:rFonts w:hAnsi="宋体"/>
          <w:bCs/>
          <w:sz w:val="24"/>
          <w:highlight w:val="none"/>
        </w:rPr>
        <w:t>比选人根据评标委员会提出的书面评标报告，在对推荐的中选候选人的参选文件进行审核后，确定中选人。</w:t>
      </w:r>
    </w:p>
    <w:p>
      <w:pPr>
        <w:pStyle w:val="24"/>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二、</w:t>
      </w:r>
      <w:r>
        <w:rPr>
          <w:rFonts w:hAnsi="宋体"/>
          <w:bCs/>
          <w:sz w:val="24"/>
          <w:highlight w:val="none"/>
        </w:rPr>
        <w:t>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360" w:lineRule="auto"/>
        <w:ind w:firstLine="480" w:firstLineChars="200"/>
        <w:textAlignment w:val="auto"/>
        <w:rPr>
          <w:rFonts w:hAnsi="宋体"/>
          <w:bCs/>
          <w:sz w:val="24"/>
          <w:highlight w:val="none"/>
        </w:rPr>
      </w:pPr>
      <w:r>
        <w:rPr>
          <w:rFonts w:hint="eastAsia" w:hAnsi="宋体"/>
          <w:bCs/>
          <w:sz w:val="24"/>
          <w:highlight w:val="none"/>
        </w:rPr>
        <w:t>三、</w:t>
      </w:r>
      <w:r>
        <w:rPr>
          <w:rFonts w:hAnsi="宋体"/>
          <w:bCs/>
          <w:sz w:val="24"/>
          <w:highlight w:val="none"/>
        </w:rPr>
        <w:t>在参选有效期内，比选人将中选结果在</w:t>
      </w:r>
      <w:r>
        <w:rPr>
          <w:rFonts w:hint="eastAsia" w:hAnsi="宋体"/>
          <w:bCs/>
          <w:sz w:val="24"/>
          <w:highlight w:val="none"/>
        </w:rPr>
        <w:t>“地铁公司外网”、</w:t>
      </w:r>
      <w:r>
        <w:rPr>
          <w:rFonts w:hint="eastAsia" w:hAnsi="宋体"/>
          <w:bCs/>
          <w:sz w:val="24"/>
          <w:highlight w:val="none"/>
          <w:lang w:eastAsia="zh-CN"/>
        </w:rPr>
        <w:t>“</w:t>
      </w:r>
      <w:r>
        <w:rPr>
          <w:rFonts w:hint="eastAsia" w:ascii="宋体" w:hAnsi="宋体" w:cs="宋体"/>
          <w:bCs/>
          <w:kern w:val="2"/>
          <w:sz w:val="21"/>
          <w:szCs w:val="21"/>
          <w:highlight w:val="none"/>
          <w:lang w:val="en-US" w:eastAsia="zh-CN"/>
        </w:rPr>
        <w:t>深铁招采网</w:t>
      </w:r>
      <w:r>
        <w:rPr>
          <w:rFonts w:hint="eastAsia" w:hAnsi="宋体"/>
          <w:bCs/>
          <w:sz w:val="24"/>
          <w:highlight w:val="none"/>
          <w:lang w:eastAsia="zh-CN"/>
        </w:rPr>
        <w:t>”</w:t>
      </w:r>
      <w:r>
        <w:rPr>
          <w:rFonts w:hint="eastAsia" w:hAnsi="宋体"/>
          <w:bCs/>
          <w:sz w:val="24"/>
          <w:highlight w:val="none"/>
        </w:rPr>
        <w:t>“国资委阳光采购平台”</w:t>
      </w:r>
      <w:r>
        <w:rPr>
          <w:rFonts w:hAnsi="宋体"/>
          <w:bCs/>
          <w:sz w:val="24"/>
          <w:highlight w:val="none"/>
        </w:rPr>
        <w:t>公示，</w:t>
      </w:r>
      <w:r>
        <w:rPr>
          <w:rFonts w:hint="eastAsia" w:hAnsi="宋体"/>
          <w:bCs/>
          <w:sz w:val="24"/>
          <w:highlight w:val="none"/>
        </w:rPr>
        <w:t>公示</w:t>
      </w:r>
      <w:r>
        <w:rPr>
          <w:rFonts w:hAnsi="宋体"/>
          <w:b/>
          <w:bCs/>
          <w:sz w:val="24"/>
          <w:highlight w:val="none"/>
          <w:u w:val="single"/>
        </w:rPr>
        <w:t>3个工作日</w:t>
      </w:r>
      <w:r>
        <w:rPr>
          <w:rFonts w:hAnsi="宋体"/>
          <w:bCs/>
          <w:sz w:val="24"/>
          <w:highlight w:val="none"/>
        </w:rPr>
        <w:t>无异议的，比选人将向中选</w:t>
      </w:r>
      <w:r>
        <w:rPr>
          <w:rFonts w:hint="eastAsia" w:hAnsi="宋体"/>
          <w:bCs/>
          <w:sz w:val="24"/>
          <w:highlight w:val="none"/>
        </w:rPr>
        <w:t>候选</w:t>
      </w:r>
      <w:r>
        <w:rPr>
          <w:rFonts w:hAnsi="宋体"/>
          <w:bCs/>
          <w:sz w:val="24"/>
          <w:highlight w:val="none"/>
        </w:rPr>
        <w:t>人发出中选通知书。</w:t>
      </w:r>
    </w:p>
    <w:p>
      <w:pPr>
        <w:pStyle w:val="5"/>
        <w:spacing w:after="0" w:line="360" w:lineRule="auto"/>
        <w:rPr>
          <w:rFonts w:ascii="宋体" w:hAnsi="宋体" w:eastAsia="宋体"/>
          <w:b/>
          <w:highlight w:val="none"/>
        </w:rPr>
      </w:pPr>
      <w:bookmarkStart w:id="95" w:name="_Toc518494138"/>
      <w:bookmarkStart w:id="96" w:name="_Toc57731976"/>
      <w:r>
        <w:rPr>
          <w:rFonts w:hint="eastAsia" w:ascii="宋体" w:hAnsi="宋体" w:eastAsia="宋体"/>
          <w:b/>
          <w:highlight w:val="none"/>
        </w:rPr>
        <w:t>第十章  合同的授予</w:t>
      </w:r>
      <w:bookmarkEnd w:id="95"/>
      <w:bookmarkEnd w:id="96"/>
    </w:p>
    <w:p>
      <w:pPr>
        <w:pStyle w:val="3"/>
        <w:tabs>
          <w:tab w:val="left" w:pos="1050"/>
        </w:tabs>
        <w:ind w:left="0" w:leftChars="0" w:firstLine="480" w:firstLineChars="200"/>
        <w:rPr>
          <w:rFonts w:ascii="宋体" w:hAnsi="宋体"/>
          <w:sz w:val="24"/>
          <w:highlight w:val="none"/>
        </w:rPr>
      </w:pPr>
      <w:r>
        <w:rPr>
          <w:rFonts w:hint="eastAsia" w:ascii="宋体" w:hAnsi="宋体"/>
          <w:sz w:val="24"/>
          <w:highlight w:val="none"/>
        </w:rPr>
        <w:t>一、</w:t>
      </w:r>
      <w:r>
        <w:rPr>
          <w:rFonts w:ascii="宋体" w:hAnsi="宋体"/>
          <w:sz w:val="24"/>
          <w:highlight w:val="none"/>
        </w:rPr>
        <w:t>比选人与中选人将于中选通知书发出之日起</w:t>
      </w:r>
      <w:r>
        <w:rPr>
          <w:rFonts w:ascii="宋体" w:hAnsi="宋体"/>
          <w:b/>
          <w:bCs/>
          <w:sz w:val="24"/>
          <w:highlight w:val="none"/>
          <w:u w:val="single"/>
        </w:rPr>
        <w:t>40</w:t>
      </w:r>
      <w:r>
        <w:rPr>
          <w:rFonts w:hint="eastAsia" w:ascii="宋体" w:hAnsi="宋体"/>
          <w:b/>
          <w:bCs/>
          <w:sz w:val="24"/>
          <w:highlight w:val="none"/>
          <w:u w:val="single"/>
        </w:rPr>
        <w:t>个工作</w:t>
      </w:r>
      <w:r>
        <w:rPr>
          <w:rFonts w:ascii="宋体" w:hAnsi="宋体"/>
          <w:b/>
          <w:bCs/>
          <w:sz w:val="24"/>
          <w:highlight w:val="none"/>
          <w:u w:val="single"/>
        </w:rPr>
        <w:t>日</w:t>
      </w:r>
      <w:r>
        <w:rPr>
          <w:rFonts w:ascii="宋体" w:hAnsi="宋体"/>
          <w:sz w:val="24"/>
          <w:highlight w:val="none"/>
        </w:rPr>
        <w:t>内，根据比选文件和中选人的参选文件签订合同</w:t>
      </w:r>
      <w:r>
        <w:rPr>
          <w:rFonts w:hint="eastAsia" w:ascii="宋体" w:hAnsi="宋体"/>
          <w:sz w:val="24"/>
          <w:highlight w:val="none"/>
        </w:rPr>
        <w:t>。</w:t>
      </w:r>
    </w:p>
    <w:p>
      <w:pPr>
        <w:pStyle w:val="3"/>
        <w:tabs>
          <w:tab w:val="left" w:pos="1050"/>
        </w:tabs>
        <w:ind w:left="0" w:leftChars="0" w:firstLine="480" w:firstLineChars="200"/>
        <w:rPr>
          <w:rFonts w:ascii="宋体" w:hAnsi="宋体"/>
          <w:sz w:val="24"/>
          <w:highlight w:val="none"/>
        </w:rPr>
      </w:pPr>
      <w:r>
        <w:rPr>
          <w:rFonts w:hint="eastAsia" w:ascii="宋体" w:hAnsi="宋体"/>
          <w:sz w:val="24"/>
          <w:highlight w:val="none"/>
        </w:rPr>
        <w:t>二、</w:t>
      </w:r>
      <w:r>
        <w:rPr>
          <w:rFonts w:ascii="宋体" w:hAnsi="宋体"/>
          <w:sz w:val="24"/>
          <w:highlight w:val="none"/>
        </w:rPr>
        <w:t>比选人与中选人签订的合同必须遵守本比选文件的合同条件，并且对合同条款不做实质性更改</w:t>
      </w:r>
      <w:r>
        <w:rPr>
          <w:rFonts w:hint="eastAsia" w:ascii="宋体" w:hAnsi="宋体"/>
          <w:sz w:val="24"/>
          <w:highlight w:val="none"/>
        </w:rPr>
        <w:t>。</w:t>
      </w:r>
    </w:p>
    <w:p>
      <w:pPr>
        <w:pStyle w:val="3"/>
        <w:tabs>
          <w:tab w:val="left" w:pos="1050"/>
        </w:tabs>
        <w:ind w:left="0" w:leftChars="0" w:firstLine="480" w:firstLineChars="200"/>
        <w:rPr>
          <w:rFonts w:hint="eastAsia" w:ascii="宋体" w:hAnsi="宋体"/>
          <w:sz w:val="24"/>
          <w:highlight w:val="none"/>
        </w:rPr>
      </w:pPr>
      <w:r>
        <w:rPr>
          <w:rFonts w:hint="eastAsia" w:ascii="宋体" w:hAnsi="宋体"/>
          <w:sz w:val="24"/>
          <w:highlight w:val="none"/>
        </w:rPr>
        <w:t>三、</w:t>
      </w:r>
      <w:r>
        <w:rPr>
          <w:rFonts w:ascii="宋体" w:hAnsi="宋体"/>
          <w:sz w:val="24"/>
          <w:highlight w:val="none"/>
        </w:rPr>
        <w:t>中选人如不按规定与比选人签订合同，则比选人将有充分的理由废除中选，保留要求乙方赔偿损失、承担相应法律责任的权力。</w:t>
      </w:r>
      <w:r>
        <w:rPr>
          <w:rFonts w:hint="eastAsia" w:ascii="宋体" w:hAnsi="宋体"/>
          <w:sz w:val="24"/>
          <w:highlight w:val="none"/>
        </w:rPr>
        <w:t>比选人可以</w:t>
      </w:r>
      <w:r>
        <w:rPr>
          <w:rFonts w:ascii="宋体" w:hAnsi="宋体"/>
          <w:sz w:val="24"/>
          <w:highlight w:val="none"/>
        </w:rPr>
        <w:t>按</w:t>
      </w:r>
      <w:r>
        <w:rPr>
          <w:rFonts w:hint="eastAsia" w:ascii="宋体" w:hAnsi="宋体"/>
          <w:sz w:val="24"/>
          <w:highlight w:val="none"/>
        </w:rPr>
        <w:t>比选</w:t>
      </w:r>
      <w:r>
        <w:rPr>
          <w:rFonts w:ascii="宋体" w:hAnsi="宋体"/>
          <w:sz w:val="24"/>
          <w:highlight w:val="none"/>
        </w:rPr>
        <w:t>工作小组提出的中选候选人名单</w:t>
      </w:r>
      <w:r>
        <w:rPr>
          <w:rFonts w:hint="eastAsia" w:ascii="宋体" w:hAnsi="宋体"/>
          <w:sz w:val="24"/>
          <w:highlight w:val="none"/>
        </w:rPr>
        <w:t>得分</w:t>
      </w:r>
      <w:r>
        <w:rPr>
          <w:rFonts w:ascii="宋体" w:hAnsi="宋体"/>
          <w:sz w:val="24"/>
          <w:highlight w:val="none"/>
        </w:rPr>
        <w:t>排</w:t>
      </w:r>
      <w:r>
        <w:rPr>
          <w:rFonts w:hint="eastAsia" w:ascii="宋体" w:hAnsi="宋体"/>
          <w:sz w:val="24"/>
          <w:highlight w:val="none"/>
        </w:rPr>
        <w:t>名，依次重新</w:t>
      </w:r>
      <w:r>
        <w:rPr>
          <w:rFonts w:ascii="宋体" w:hAnsi="宋体"/>
          <w:sz w:val="24"/>
          <w:highlight w:val="none"/>
        </w:rPr>
        <w:t>确定中选人</w:t>
      </w:r>
      <w:r>
        <w:rPr>
          <w:rFonts w:hint="eastAsia" w:ascii="宋体" w:hAnsi="宋体"/>
          <w:sz w:val="24"/>
          <w:highlight w:val="none"/>
        </w:rPr>
        <w:t>候选人</w:t>
      </w:r>
      <w:r>
        <w:rPr>
          <w:rFonts w:ascii="宋体" w:hAnsi="宋体"/>
          <w:sz w:val="24"/>
          <w:highlight w:val="none"/>
        </w:rPr>
        <w:t>。依次</w:t>
      </w:r>
      <w:r>
        <w:rPr>
          <w:rFonts w:hint="eastAsia" w:ascii="宋体" w:hAnsi="宋体"/>
          <w:sz w:val="24"/>
          <w:highlight w:val="none"/>
        </w:rPr>
        <w:t>确定</w:t>
      </w:r>
      <w:r>
        <w:rPr>
          <w:rFonts w:ascii="宋体" w:hAnsi="宋体"/>
          <w:sz w:val="24"/>
          <w:highlight w:val="none"/>
        </w:rPr>
        <w:t>其他中选候选人与比选人</w:t>
      </w:r>
      <w:r>
        <w:rPr>
          <w:rFonts w:hint="eastAsia" w:ascii="宋体" w:hAnsi="宋体"/>
          <w:sz w:val="24"/>
          <w:highlight w:val="none"/>
        </w:rPr>
        <w:t>的</w:t>
      </w:r>
      <w:r>
        <w:rPr>
          <w:rFonts w:ascii="宋体" w:hAnsi="宋体"/>
          <w:sz w:val="24"/>
          <w:highlight w:val="none"/>
        </w:rPr>
        <w:t>预期</w:t>
      </w:r>
      <w:r>
        <w:rPr>
          <w:rFonts w:hint="eastAsia" w:ascii="宋体" w:hAnsi="宋体"/>
          <w:sz w:val="24"/>
          <w:highlight w:val="none"/>
        </w:rPr>
        <w:t>差距</w:t>
      </w:r>
      <w:r>
        <w:rPr>
          <w:rFonts w:ascii="宋体" w:hAnsi="宋体"/>
          <w:sz w:val="24"/>
          <w:highlight w:val="none"/>
        </w:rPr>
        <w:t>较大</w:t>
      </w:r>
      <w:r>
        <w:rPr>
          <w:rFonts w:hint="eastAsia" w:ascii="宋体" w:hAnsi="宋体"/>
          <w:sz w:val="24"/>
          <w:highlight w:val="none"/>
        </w:rPr>
        <w:t>的</w:t>
      </w:r>
      <w:r>
        <w:rPr>
          <w:rFonts w:ascii="宋体" w:hAnsi="宋体"/>
          <w:sz w:val="24"/>
          <w:highlight w:val="none"/>
        </w:rPr>
        <w:t>，或者对比选人明显不利的，比选人可以重新比选</w:t>
      </w:r>
      <w:r>
        <w:rPr>
          <w:rFonts w:hint="eastAsia" w:ascii="宋体" w:hAnsi="宋体"/>
          <w:sz w:val="24"/>
          <w:highlight w:val="none"/>
        </w:rPr>
        <w:t>。</w:t>
      </w:r>
    </w:p>
    <w:bookmarkEnd w:id="65"/>
    <w:bookmarkEnd w:id="66"/>
    <w:p>
      <w:pPr>
        <w:pStyle w:val="5"/>
        <w:spacing w:after="0" w:line="360" w:lineRule="auto"/>
        <w:rPr>
          <w:highlight w:val="none"/>
        </w:rPr>
      </w:pPr>
      <w:bookmarkStart w:id="97" w:name="_Toc399494429"/>
      <w:bookmarkStart w:id="98" w:name="_Toc518494139"/>
      <w:bookmarkStart w:id="99" w:name="_Toc57731977"/>
      <w:bookmarkStart w:id="100" w:name="_Toc197404912"/>
      <w:r>
        <w:rPr>
          <w:rFonts w:hint="eastAsia"/>
          <w:highlight w:val="none"/>
        </w:rPr>
        <w:t>附件：评标</w:t>
      </w:r>
      <w:bookmarkEnd w:id="97"/>
      <w:r>
        <w:rPr>
          <w:rFonts w:hint="eastAsia"/>
          <w:highlight w:val="none"/>
        </w:rPr>
        <w:t>办法</w:t>
      </w:r>
      <w:bookmarkEnd w:id="98"/>
      <w:bookmarkEnd w:id="99"/>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highlight w:val="none"/>
        </w:rPr>
      </w:pPr>
      <w:bookmarkStart w:id="101" w:name="_Toc276575939"/>
      <w:bookmarkStart w:id="102" w:name="_Toc518494140"/>
      <w:bookmarkStart w:id="103" w:name="_Toc57731978"/>
      <w:r>
        <w:rPr>
          <w:rFonts w:hint="eastAsia" w:ascii="宋体" w:hAnsi="宋体"/>
          <w:b/>
          <w:kern w:val="0"/>
          <w:sz w:val="24"/>
          <w:szCs w:val="24"/>
          <w:highlight w:val="none"/>
        </w:rPr>
        <w:t>一、总</w:t>
      </w:r>
      <w:bookmarkEnd w:id="101"/>
      <w:bookmarkEnd w:id="102"/>
      <w:r>
        <w:rPr>
          <w:rFonts w:hint="eastAsia" w:ascii="宋体" w:hAnsi="宋体"/>
          <w:b/>
          <w:kern w:val="0"/>
          <w:sz w:val="24"/>
          <w:szCs w:val="24"/>
          <w:highlight w:val="none"/>
        </w:rPr>
        <w:t>则</w:t>
      </w:r>
      <w:bookmarkEnd w:id="103"/>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4" w:name="_Toc518494141"/>
      <w:bookmarkStart w:id="105" w:name="_Toc57731979"/>
      <w:r>
        <w:rPr>
          <w:rFonts w:hint="eastAsia" w:ascii="宋体" w:hAnsi="宋体"/>
          <w:b/>
          <w:kern w:val="0"/>
          <w:sz w:val="24"/>
          <w:szCs w:val="24"/>
          <w:highlight w:val="none"/>
        </w:rPr>
        <w:t>二、评定标组织</w:t>
      </w:r>
      <w:bookmarkEnd w:id="104"/>
      <w:bookmarkEnd w:id="105"/>
    </w:p>
    <w:p>
      <w:pPr>
        <w:tabs>
          <w:tab w:val="left" w:pos="420"/>
        </w:tabs>
        <w:spacing w:line="360" w:lineRule="auto"/>
        <w:ind w:firstLine="480" w:firstLineChars="200"/>
        <w:rPr>
          <w:rFonts w:ascii="宋体" w:hAnsi="宋体"/>
          <w:sz w:val="24"/>
          <w:szCs w:val="24"/>
          <w:highlight w:val="none"/>
        </w:rPr>
      </w:pPr>
      <w:r>
        <w:rPr>
          <w:rFonts w:hint="eastAsia" w:ascii="宋体" w:hAnsi="宋体"/>
          <w:sz w:val="24"/>
          <w:szCs w:val="24"/>
          <w:highlight w:val="none"/>
        </w:rPr>
        <w:t>（一）评标委员会组成</w:t>
      </w:r>
    </w:p>
    <w:p>
      <w:pPr>
        <w:spacing w:line="360" w:lineRule="auto"/>
        <w:ind w:firstLine="480" w:firstLineChars="200"/>
        <w:rPr>
          <w:rFonts w:ascii="宋体" w:hAnsi="宋体"/>
          <w:sz w:val="24"/>
          <w:szCs w:val="24"/>
          <w:highlight w:val="none"/>
        </w:rPr>
      </w:pPr>
      <w:r>
        <w:rPr>
          <w:rFonts w:ascii="宋体" w:hAnsi="宋体"/>
          <w:sz w:val="24"/>
          <w:szCs w:val="24"/>
          <w:highlight w:val="none"/>
        </w:rPr>
        <w:t>由比选人在开标前成立评选委员会。</w:t>
      </w:r>
      <w:r>
        <w:rPr>
          <w:rFonts w:hint="eastAsia" w:ascii="宋体" w:hAnsi="宋体"/>
          <w:sz w:val="24"/>
          <w:szCs w:val="24"/>
          <w:highlight w:val="none"/>
        </w:rPr>
        <w:t>评标委员会由</w:t>
      </w:r>
      <w:r>
        <w:rPr>
          <w:rFonts w:ascii="宋体" w:hAnsi="宋体"/>
          <w:sz w:val="24"/>
          <w:szCs w:val="24"/>
          <w:highlight w:val="none"/>
        </w:rPr>
        <w:t>7</w:t>
      </w:r>
      <w:r>
        <w:rPr>
          <w:rFonts w:hint="eastAsia" w:ascii="宋体" w:hAnsi="宋体"/>
          <w:sz w:val="24"/>
          <w:szCs w:val="24"/>
          <w:highlight w:val="none"/>
        </w:rPr>
        <w:t>人组成。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（二）评标委员会职责</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（三）评标过程由比选人派出监督专员负责监督比选、评标全过程。</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6" w:name="_Toc518494142"/>
      <w:bookmarkStart w:id="107" w:name="_Toc57731980"/>
      <w:r>
        <w:rPr>
          <w:rFonts w:hint="eastAsia" w:ascii="宋体" w:hAnsi="宋体"/>
          <w:b/>
          <w:kern w:val="0"/>
          <w:sz w:val="24"/>
          <w:szCs w:val="24"/>
          <w:highlight w:val="none"/>
        </w:rPr>
        <w:t>三、评标方法与程序</w:t>
      </w:r>
      <w:bookmarkEnd w:id="106"/>
      <w:bookmarkEnd w:id="107"/>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（一）本次评标采用“综合评分法”</w:t>
      </w:r>
      <w:r>
        <w:rPr>
          <w:rFonts w:hint="eastAsia" w:ascii="宋体" w:hAnsi="宋体"/>
          <w:bCs/>
          <w:sz w:val="24"/>
          <w:szCs w:val="24"/>
          <w:highlight w:val="none"/>
        </w:rPr>
        <w:t>，先评技术标，再评商务标，满分为100分，其中：技术标</w:t>
      </w:r>
      <w:r>
        <w:rPr>
          <w:rFonts w:ascii="宋体" w:hAnsi="宋体"/>
          <w:bCs/>
          <w:sz w:val="24"/>
          <w:szCs w:val="24"/>
          <w:highlight w:val="none"/>
        </w:rPr>
        <w:t>50</w:t>
      </w:r>
      <w:r>
        <w:rPr>
          <w:rFonts w:hint="eastAsia" w:ascii="宋体" w:hAnsi="宋体"/>
          <w:bCs/>
          <w:sz w:val="24"/>
          <w:szCs w:val="24"/>
          <w:highlight w:val="none"/>
        </w:rPr>
        <w:t>分，商务标</w:t>
      </w:r>
      <w:r>
        <w:rPr>
          <w:rFonts w:ascii="宋体" w:hAnsi="宋体"/>
          <w:bCs/>
          <w:sz w:val="24"/>
          <w:szCs w:val="24"/>
          <w:highlight w:val="none"/>
        </w:rPr>
        <w:t>50</w:t>
      </w:r>
      <w:r>
        <w:rPr>
          <w:rFonts w:hint="eastAsia" w:ascii="宋体" w:hAnsi="宋体"/>
          <w:bCs/>
          <w:sz w:val="24"/>
          <w:szCs w:val="24"/>
          <w:highlight w:val="none"/>
        </w:rPr>
        <w:t>分。</w:t>
      </w:r>
      <w:r>
        <w:rPr>
          <w:rFonts w:hint="eastAsia" w:ascii="宋体" w:hAnsi="宋体"/>
          <w:sz w:val="24"/>
          <w:szCs w:val="24"/>
          <w:highlight w:val="none"/>
        </w:rPr>
        <w:t>评标委员会先</w:t>
      </w:r>
      <w:r>
        <w:rPr>
          <w:rFonts w:ascii="宋体" w:hAnsi="宋体"/>
          <w:b/>
          <w:sz w:val="24"/>
          <w:szCs w:val="24"/>
          <w:highlight w:val="none"/>
        </w:rPr>
        <w:t>按照技术</w:t>
      </w:r>
      <w:r>
        <w:rPr>
          <w:rFonts w:hint="eastAsia" w:ascii="宋体" w:hAnsi="宋体"/>
          <w:b/>
          <w:sz w:val="24"/>
          <w:szCs w:val="24"/>
          <w:highlight w:val="none"/>
        </w:rPr>
        <w:t>标</w:t>
      </w:r>
      <w:r>
        <w:rPr>
          <w:rFonts w:ascii="宋体" w:hAnsi="宋体"/>
          <w:b/>
          <w:sz w:val="24"/>
          <w:szCs w:val="24"/>
          <w:highlight w:val="none"/>
        </w:rPr>
        <w:t>评分标准</w:t>
      </w:r>
      <w:r>
        <w:rPr>
          <w:rFonts w:hint="eastAsia" w:ascii="宋体" w:hAnsi="宋体"/>
          <w:b/>
          <w:sz w:val="24"/>
          <w:szCs w:val="24"/>
          <w:highlight w:val="none"/>
        </w:rPr>
        <w:t>对各参选人技术文件</w:t>
      </w:r>
      <w:r>
        <w:rPr>
          <w:rFonts w:ascii="宋体" w:hAnsi="宋体"/>
          <w:b/>
          <w:sz w:val="24"/>
          <w:szCs w:val="24"/>
          <w:highlight w:val="none"/>
        </w:rPr>
        <w:t>进行打分</w:t>
      </w:r>
      <w:r>
        <w:rPr>
          <w:rFonts w:hint="eastAsia" w:ascii="宋体" w:hAnsi="宋体"/>
          <w:b/>
          <w:sz w:val="24"/>
          <w:szCs w:val="24"/>
          <w:highlight w:val="none"/>
        </w:rPr>
        <w:t>，各评委评分的算术平均值为该参选人技术标得分</w:t>
      </w:r>
      <w:r>
        <w:rPr>
          <w:rFonts w:ascii="宋体" w:hAnsi="宋体"/>
          <w:b/>
          <w:sz w:val="24"/>
          <w:szCs w:val="24"/>
          <w:highlight w:val="none"/>
        </w:rPr>
        <w:t>。</w:t>
      </w:r>
      <w:r>
        <w:rPr>
          <w:rFonts w:hint="eastAsia" w:ascii="宋体" w:hAnsi="宋体"/>
          <w:sz w:val="24"/>
          <w:szCs w:val="24"/>
          <w:highlight w:val="none"/>
        </w:rPr>
        <w:t>然后各评标委员会再</w:t>
      </w:r>
      <w:r>
        <w:rPr>
          <w:rFonts w:ascii="宋体" w:hAnsi="宋体"/>
          <w:b/>
          <w:sz w:val="24"/>
          <w:szCs w:val="24"/>
          <w:highlight w:val="none"/>
        </w:rPr>
        <w:t>按照</w:t>
      </w:r>
      <w:r>
        <w:rPr>
          <w:rFonts w:hint="eastAsia" w:ascii="宋体" w:hAnsi="宋体"/>
          <w:b/>
          <w:sz w:val="24"/>
          <w:szCs w:val="24"/>
          <w:highlight w:val="none"/>
        </w:rPr>
        <w:t>商务标</w:t>
      </w:r>
      <w:r>
        <w:rPr>
          <w:rFonts w:ascii="宋体" w:hAnsi="宋体"/>
          <w:b/>
          <w:sz w:val="24"/>
          <w:szCs w:val="24"/>
          <w:highlight w:val="none"/>
        </w:rPr>
        <w:t>计算公式</w:t>
      </w:r>
      <w:r>
        <w:rPr>
          <w:rFonts w:hint="eastAsia" w:ascii="宋体" w:hAnsi="宋体"/>
          <w:b/>
          <w:sz w:val="24"/>
          <w:szCs w:val="24"/>
          <w:highlight w:val="none"/>
        </w:rPr>
        <w:t>对各参选人商务报价进行评分，最后汇总参选人技术及商务标得分，</w:t>
      </w:r>
      <w:r>
        <w:rPr>
          <w:rFonts w:hint="eastAsia" w:ascii="宋体" w:hAnsi="宋体"/>
          <w:sz w:val="24"/>
          <w:szCs w:val="24"/>
          <w:highlight w:val="none"/>
        </w:rPr>
        <w:t>并按照</w:t>
      </w:r>
      <w:r>
        <w:rPr>
          <w:rFonts w:ascii="宋体" w:hAnsi="宋体"/>
          <w:sz w:val="24"/>
          <w:szCs w:val="24"/>
          <w:highlight w:val="none"/>
        </w:rPr>
        <w:t>参选人的最终得分值由高到低排列名次。</w:t>
      </w:r>
      <w:r>
        <w:rPr>
          <w:rFonts w:hint="eastAsia" w:ascii="宋体" w:hAnsi="宋体"/>
          <w:sz w:val="24"/>
          <w:szCs w:val="24"/>
          <w:highlight w:val="none"/>
        </w:rPr>
        <w:t>若出现综合得分相同的情形，</w:t>
      </w:r>
      <w:r>
        <w:rPr>
          <w:rFonts w:ascii="宋体" w:hAnsi="宋体"/>
          <w:sz w:val="24"/>
          <w:szCs w:val="24"/>
          <w:highlight w:val="none"/>
        </w:rPr>
        <w:t>以技术标得分高者排在先</w:t>
      </w:r>
      <w:r>
        <w:rPr>
          <w:rFonts w:hint="eastAsia" w:ascii="宋体" w:hAnsi="宋体"/>
          <w:sz w:val="24"/>
          <w:szCs w:val="24"/>
          <w:highlight w:val="none"/>
        </w:rPr>
        <w:t>；若技术标得分相同的（以保留小数点后两位且四舍五入为准），以商务标报价低者排在先；若报价相同的，以抽签的形式确定中选候选人。最终，评委推荐一名中选候选人</w:t>
      </w:r>
      <w:r>
        <w:rPr>
          <w:rFonts w:hint="eastAsia" w:ascii="宋体" w:hAnsi="宋体"/>
          <w:sz w:val="24"/>
          <w:highlight w:val="none"/>
        </w:rPr>
        <w:t>中选，并形成评标报告。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（二）评标程序</w:t>
      </w:r>
    </w:p>
    <w:p>
      <w:pPr>
        <w:pStyle w:val="24"/>
        <w:adjustRightInd/>
        <w:snapToGrid w:val="0"/>
        <w:spacing w:line="360" w:lineRule="auto"/>
        <w:ind w:firstLine="480" w:firstLineChars="200"/>
        <w:textAlignment w:val="auto"/>
        <w:rPr>
          <w:rFonts w:hAnsi="宋体"/>
          <w:bCs/>
          <w:sz w:val="24"/>
          <w:szCs w:val="24"/>
          <w:highlight w:val="none"/>
        </w:rPr>
      </w:pPr>
      <w:r>
        <w:rPr>
          <w:rFonts w:hint="eastAsia" w:hAnsi="宋体"/>
          <w:sz w:val="24"/>
          <w:szCs w:val="24"/>
          <w:highlight w:val="none"/>
        </w:rPr>
        <w:t>1、</w:t>
      </w:r>
      <w:r>
        <w:rPr>
          <w:rFonts w:hint="eastAsia" w:hAnsi="宋体"/>
          <w:bCs/>
          <w:sz w:val="24"/>
          <w:szCs w:val="24"/>
          <w:highlight w:val="none"/>
        </w:rPr>
        <w:t>评标分</w:t>
      </w:r>
      <w:r>
        <w:rPr>
          <w:rFonts w:hAnsi="宋体"/>
          <w:bCs/>
          <w:sz w:val="24"/>
          <w:szCs w:val="24"/>
          <w:highlight w:val="none"/>
        </w:rPr>
        <w:t>2阶段进行，先评技术标，再评商务标。</w:t>
      </w:r>
    </w:p>
    <w:p>
      <w:pPr>
        <w:spacing w:line="360" w:lineRule="auto"/>
        <w:ind w:firstLine="482" w:firstLineChars="200"/>
        <w:rPr>
          <w:rFonts w:ascii="宋体" w:hAnsi="宋体"/>
          <w:b/>
          <w:bCs/>
          <w:sz w:val="24"/>
          <w:szCs w:val="24"/>
          <w:highlight w:val="none"/>
        </w:rPr>
      </w:pPr>
      <w:bookmarkStart w:id="108" w:name="_Toc518494143"/>
      <w:r>
        <w:rPr>
          <w:rFonts w:hint="eastAsia" w:ascii="宋体" w:hAnsi="宋体"/>
          <w:b/>
          <w:bCs/>
          <w:sz w:val="24"/>
          <w:szCs w:val="24"/>
          <w:highlight w:val="none"/>
        </w:rPr>
        <w:t>技术标评审：</w:t>
      </w:r>
    </w:p>
    <w:p>
      <w:pPr>
        <w:spacing w:line="360" w:lineRule="auto"/>
        <w:ind w:firstLine="480" w:firstLineChars="200"/>
        <w:rPr>
          <w:rFonts w:hint="eastAsia" w:ascii="宋体" w:hAnsi="宋体"/>
          <w:bCs/>
          <w:sz w:val="24"/>
          <w:szCs w:val="24"/>
          <w:highlight w:val="none"/>
        </w:rPr>
      </w:pPr>
      <w:r>
        <w:rPr>
          <w:rFonts w:hint="eastAsia" w:ascii="宋体" w:hAnsi="宋体"/>
          <w:bCs/>
          <w:sz w:val="24"/>
          <w:szCs w:val="24"/>
          <w:highlight w:val="none"/>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highlight w:val="none"/>
        </w:rPr>
        <w:t>入下一步的详细评审</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（2）评标委员会否决无效标或者界定为废标后，有效参选人不足3家的，比选人宣布本次比选失败，</w:t>
      </w:r>
      <w:r>
        <w:rPr>
          <w:rFonts w:ascii="宋体" w:hAnsi="宋体"/>
          <w:bCs/>
          <w:sz w:val="24"/>
          <w:szCs w:val="24"/>
          <w:highlight w:val="none"/>
        </w:rPr>
        <w:t>重新</w:t>
      </w:r>
      <w:r>
        <w:rPr>
          <w:rFonts w:hint="eastAsia" w:ascii="宋体" w:hAnsi="宋体"/>
          <w:bCs/>
          <w:sz w:val="24"/>
          <w:szCs w:val="24"/>
          <w:highlight w:val="none"/>
        </w:rPr>
        <w:t>组织</w:t>
      </w:r>
      <w:r>
        <w:rPr>
          <w:rFonts w:ascii="宋体" w:hAnsi="宋体"/>
          <w:bCs/>
          <w:sz w:val="24"/>
          <w:szCs w:val="24"/>
          <w:highlight w:val="none"/>
        </w:rPr>
        <w:t>比选</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3</w:t>
      </w:r>
      <w:r>
        <w:rPr>
          <w:rFonts w:hint="eastAsia" w:ascii="宋体" w:hAnsi="宋体"/>
          <w:bCs/>
          <w:sz w:val="24"/>
          <w:szCs w:val="24"/>
          <w:highlight w:val="none"/>
        </w:rPr>
        <w:t>）技术标初步审查完成后，</w:t>
      </w:r>
      <w:r>
        <w:rPr>
          <w:rFonts w:ascii="宋体" w:hAnsi="宋体"/>
          <w:bCs/>
          <w:sz w:val="24"/>
          <w:szCs w:val="24"/>
          <w:highlight w:val="none"/>
        </w:rPr>
        <w:t>参选人按照</w:t>
      </w:r>
      <w:r>
        <w:rPr>
          <w:rFonts w:hint="eastAsia" w:ascii="宋体" w:hAnsi="宋体"/>
          <w:bCs/>
          <w:sz w:val="24"/>
          <w:szCs w:val="24"/>
          <w:highlight w:val="none"/>
        </w:rPr>
        <w:t>比选</w:t>
      </w:r>
      <w:r>
        <w:rPr>
          <w:rFonts w:ascii="宋体" w:hAnsi="宋体"/>
          <w:bCs/>
          <w:sz w:val="24"/>
          <w:szCs w:val="24"/>
          <w:highlight w:val="none"/>
        </w:rPr>
        <w:t>人通知的时间在指定地点进行现场陈述答辩。各参选人的陈述答辩按</w:t>
      </w:r>
      <w:r>
        <w:rPr>
          <w:rFonts w:hint="eastAsia" w:ascii="宋体" w:hAnsi="宋体"/>
          <w:bCs/>
          <w:sz w:val="24"/>
          <w:szCs w:val="24"/>
          <w:highlight w:val="none"/>
        </w:rPr>
        <w:t>签到的</w:t>
      </w:r>
      <w:r>
        <w:rPr>
          <w:rFonts w:ascii="宋体" w:hAnsi="宋体"/>
          <w:bCs/>
          <w:sz w:val="24"/>
          <w:szCs w:val="24"/>
          <w:highlight w:val="none"/>
        </w:rPr>
        <w:t>先后时间确定顺序，逐一单独进行。</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4）主陈述答辩人必须是参选人拟派的项目</w:t>
      </w:r>
      <w:r>
        <w:rPr>
          <w:rFonts w:hint="eastAsia" w:ascii="宋体" w:hAnsi="宋体"/>
          <w:bCs/>
          <w:sz w:val="24"/>
          <w:szCs w:val="24"/>
          <w:highlight w:val="none"/>
        </w:rPr>
        <w:t>总监</w:t>
      </w:r>
      <w:r>
        <w:rPr>
          <w:rFonts w:ascii="宋体" w:hAnsi="宋体"/>
          <w:bCs/>
          <w:sz w:val="24"/>
          <w:szCs w:val="24"/>
          <w:highlight w:val="none"/>
        </w:rPr>
        <w:t>，</w:t>
      </w:r>
      <w:r>
        <w:rPr>
          <w:rFonts w:hint="eastAsia" w:ascii="宋体" w:hAnsi="宋体"/>
          <w:bCs/>
          <w:sz w:val="24"/>
          <w:szCs w:val="24"/>
          <w:highlight w:val="none"/>
        </w:rPr>
        <w:t>项目组成员</w:t>
      </w:r>
      <w:r>
        <w:rPr>
          <w:rFonts w:ascii="宋体" w:hAnsi="宋体"/>
          <w:bCs/>
          <w:sz w:val="24"/>
          <w:szCs w:val="24"/>
          <w:highlight w:val="none"/>
        </w:rPr>
        <w:t>作为辅助答辩人；非以上人员不得进入陈述答辩现场。参加答辩的所有人员须核对身份，请答辩人员务必携带有效的身份证明材料。</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参选人先进行</w:t>
      </w:r>
      <w:r>
        <w:rPr>
          <w:rFonts w:hint="eastAsia" w:ascii="宋体" w:hAnsi="宋体"/>
          <w:bCs/>
          <w:sz w:val="24"/>
          <w:szCs w:val="24"/>
          <w:highlight w:val="none"/>
          <w:lang w:val="en-US" w:eastAsia="zh-CN"/>
        </w:rPr>
        <w:t>15</w:t>
      </w:r>
      <w:r>
        <w:rPr>
          <w:rFonts w:ascii="宋体" w:hAnsi="宋体"/>
          <w:bCs/>
          <w:sz w:val="24"/>
          <w:szCs w:val="24"/>
          <w:highlight w:val="none"/>
        </w:rPr>
        <w:t>分钟以内的陈述，包括：</w:t>
      </w:r>
      <w:r>
        <w:rPr>
          <w:rFonts w:hint="eastAsia" w:ascii="宋体" w:hAnsi="宋体" w:eastAsia="宋体" w:cs="Times New Roman"/>
          <w:color w:val="auto"/>
          <w:kern w:val="0"/>
          <w:sz w:val="24"/>
          <w:szCs w:val="24"/>
          <w:highlight w:val="none"/>
          <w:lang w:val="zh-CN" w:eastAsia="zh-CN" w:bidi="ar-SA"/>
        </w:rPr>
        <w:t>《</w:t>
      </w:r>
      <w:r>
        <w:rPr>
          <w:rFonts w:hint="eastAsia" w:ascii="宋体" w:hAnsi="宋体" w:eastAsia="宋体" w:cs="Times New Roman"/>
          <w:color w:val="auto"/>
          <w:kern w:val="0"/>
          <w:sz w:val="24"/>
          <w:szCs w:val="24"/>
          <w:highlight w:val="none"/>
          <w:lang w:val="zh-TW" w:eastAsia="zh-TW" w:bidi="ar-SA"/>
        </w:rPr>
        <w:t>深铁瑞城系列营销活动与现场包装</w:t>
      </w:r>
      <w:r>
        <w:rPr>
          <w:rFonts w:hint="eastAsia" w:ascii="宋体" w:hAnsi="宋体" w:eastAsia="宋体" w:cs="Times New Roman"/>
          <w:color w:val="auto"/>
          <w:kern w:val="0"/>
          <w:sz w:val="24"/>
          <w:szCs w:val="24"/>
          <w:highlight w:val="none"/>
          <w:lang w:val="en-US" w:eastAsia="zh-CN" w:bidi="ar-SA"/>
        </w:rPr>
        <w:t>服务</w:t>
      </w:r>
      <w:r>
        <w:rPr>
          <w:rFonts w:hint="eastAsia" w:ascii="宋体" w:hAnsi="宋体" w:eastAsia="宋体" w:cs="Times New Roman"/>
          <w:color w:val="auto"/>
          <w:kern w:val="0"/>
          <w:sz w:val="24"/>
          <w:szCs w:val="24"/>
          <w:highlight w:val="none"/>
          <w:lang w:val="zh-TW" w:eastAsia="zh-TW" w:bidi="ar-SA"/>
        </w:rPr>
        <w:t>方案</w:t>
      </w:r>
      <w:r>
        <w:rPr>
          <w:rFonts w:hint="eastAsia" w:ascii="宋体" w:hAnsi="宋体" w:eastAsia="宋体" w:cs="Times New Roman"/>
          <w:color w:val="auto"/>
          <w:kern w:val="0"/>
          <w:sz w:val="24"/>
          <w:szCs w:val="24"/>
          <w:highlight w:val="none"/>
          <w:lang w:val="zh-CN" w:eastAsia="zh-CN" w:bidi="ar-SA"/>
        </w:rPr>
        <w:t>》</w:t>
      </w:r>
      <w:r>
        <w:rPr>
          <w:rFonts w:ascii="宋体" w:hAnsi="宋体"/>
          <w:bCs/>
          <w:sz w:val="24"/>
          <w:szCs w:val="24"/>
          <w:highlight w:val="none"/>
        </w:rPr>
        <w:t>，可以辅助使用投影演示等形式，但不能再提供任何书面资料。</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陈述后接着进行</w:t>
      </w:r>
      <w:r>
        <w:rPr>
          <w:rFonts w:hint="eastAsia" w:ascii="宋体" w:hAnsi="宋体"/>
          <w:bCs/>
          <w:sz w:val="24"/>
          <w:szCs w:val="24"/>
          <w:highlight w:val="none"/>
          <w:lang w:val="en-US" w:eastAsia="zh-CN"/>
        </w:rPr>
        <w:t>5</w:t>
      </w:r>
      <w:r>
        <w:rPr>
          <w:rFonts w:ascii="宋体" w:hAnsi="宋体"/>
          <w:bCs/>
          <w:sz w:val="24"/>
          <w:szCs w:val="24"/>
          <w:highlight w:val="none"/>
        </w:rPr>
        <w:t>分钟以内的答辩，由参选人回答评委提出的问题。</w:t>
      </w:r>
    </w:p>
    <w:p>
      <w:pPr>
        <w:spacing w:line="360" w:lineRule="auto"/>
        <w:ind w:firstLine="480" w:firstLineChars="200"/>
        <w:rPr>
          <w:rFonts w:ascii="宋体" w:hAnsi="宋体"/>
          <w:bCs/>
          <w:sz w:val="24"/>
          <w:szCs w:val="24"/>
          <w:highlight w:val="none"/>
        </w:rPr>
      </w:pPr>
      <w:r>
        <w:rPr>
          <w:rFonts w:ascii="宋体" w:hAnsi="宋体"/>
          <w:bCs/>
          <w:sz w:val="24"/>
          <w:szCs w:val="24"/>
          <w:highlight w:val="none"/>
        </w:rPr>
        <w:t>现场陈述答辩结束后，参选人应立即离开现场，不得与其他参选人交谈，透露任何有关参选文件和陈述答辩的内容。一经发现，其参与资格将被取消。</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5</w:t>
      </w:r>
      <w:r>
        <w:rPr>
          <w:rFonts w:hint="eastAsia" w:ascii="宋体" w:hAnsi="宋体"/>
          <w:bCs/>
          <w:sz w:val="24"/>
          <w:szCs w:val="24"/>
          <w:highlight w:val="none"/>
        </w:rPr>
        <w:t>）</w:t>
      </w:r>
      <w:r>
        <w:rPr>
          <w:rFonts w:ascii="宋体" w:hAnsi="宋体"/>
          <w:bCs/>
          <w:sz w:val="24"/>
          <w:szCs w:val="24"/>
          <w:highlight w:val="none"/>
        </w:rPr>
        <w:t>参选人在陈述答辩过程中，可以对参选文件进行解释、说明、澄清，但不得对人员安排、报价等实质性内容做任何更改。如陈述答辩的内容与</w:t>
      </w:r>
      <w:r>
        <w:rPr>
          <w:rFonts w:hint="eastAsia" w:ascii="宋体" w:hAnsi="宋体"/>
          <w:bCs/>
          <w:sz w:val="24"/>
          <w:szCs w:val="24"/>
          <w:highlight w:val="none"/>
        </w:rPr>
        <w:t>参选</w:t>
      </w:r>
      <w:r>
        <w:rPr>
          <w:rFonts w:ascii="宋体" w:hAnsi="宋体"/>
          <w:bCs/>
          <w:sz w:val="24"/>
          <w:szCs w:val="24"/>
          <w:highlight w:val="none"/>
        </w:rPr>
        <w:t>文件的内容之间有冲突、矛盾的，除陈述答辩对</w:t>
      </w:r>
      <w:r>
        <w:rPr>
          <w:rFonts w:hint="eastAsia" w:ascii="宋体" w:hAnsi="宋体"/>
          <w:bCs/>
          <w:sz w:val="24"/>
          <w:szCs w:val="24"/>
          <w:highlight w:val="none"/>
        </w:rPr>
        <w:t>参选</w:t>
      </w:r>
      <w:r>
        <w:rPr>
          <w:rFonts w:ascii="宋体" w:hAnsi="宋体"/>
          <w:bCs/>
          <w:sz w:val="24"/>
          <w:szCs w:val="24"/>
          <w:highlight w:val="none"/>
        </w:rPr>
        <w:t>文件中的错漏进行的修正、补充外，均以</w:t>
      </w:r>
      <w:r>
        <w:rPr>
          <w:rFonts w:hint="eastAsia" w:ascii="宋体" w:hAnsi="宋体"/>
          <w:bCs/>
          <w:sz w:val="24"/>
          <w:szCs w:val="24"/>
          <w:highlight w:val="none"/>
        </w:rPr>
        <w:t>参选</w:t>
      </w:r>
      <w:r>
        <w:rPr>
          <w:rFonts w:ascii="宋体" w:hAnsi="宋体"/>
          <w:bCs/>
          <w:sz w:val="24"/>
          <w:szCs w:val="24"/>
          <w:highlight w:val="none"/>
        </w:rPr>
        <w:t>文件为准。</w:t>
      </w:r>
    </w:p>
    <w:p>
      <w:pPr>
        <w:spacing w:line="360" w:lineRule="auto"/>
        <w:ind w:firstLine="480" w:firstLineChars="200"/>
        <w:rPr>
          <w:rFonts w:hint="eastAsia" w:ascii="宋体" w:hAnsi="宋体"/>
          <w:bCs/>
          <w:sz w:val="24"/>
          <w:szCs w:val="24"/>
          <w:highlight w:val="none"/>
        </w:rPr>
      </w:pPr>
      <w:r>
        <w:rPr>
          <w:rFonts w:hint="eastAsia" w:ascii="宋体" w:hAnsi="宋体"/>
          <w:bCs/>
          <w:sz w:val="24"/>
          <w:szCs w:val="24"/>
          <w:highlight w:val="none"/>
        </w:rPr>
        <w:t>（</w:t>
      </w:r>
      <w:r>
        <w:rPr>
          <w:rFonts w:ascii="宋体" w:hAnsi="宋体"/>
          <w:bCs/>
          <w:sz w:val="24"/>
          <w:szCs w:val="24"/>
          <w:highlight w:val="none"/>
        </w:rPr>
        <w:t>6）</w:t>
      </w:r>
      <w:r>
        <w:rPr>
          <w:rFonts w:hint="eastAsia" w:ascii="宋体" w:hAnsi="宋体"/>
          <w:bCs/>
          <w:sz w:val="24"/>
          <w:szCs w:val="24"/>
          <w:highlight w:val="none"/>
        </w:rPr>
        <w:t>参选人</w:t>
      </w:r>
      <w:r>
        <w:rPr>
          <w:rFonts w:ascii="宋体" w:hAnsi="宋体"/>
          <w:bCs/>
          <w:sz w:val="24"/>
          <w:szCs w:val="24"/>
          <w:highlight w:val="none"/>
        </w:rPr>
        <w:t>完成陈述</w:t>
      </w:r>
      <w:r>
        <w:rPr>
          <w:rFonts w:hint="eastAsia" w:ascii="宋体" w:hAnsi="宋体"/>
          <w:bCs/>
          <w:sz w:val="24"/>
          <w:szCs w:val="24"/>
          <w:highlight w:val="none"/>
        </w:rPr>
        <w:t>答辩</w:t>
      </w:r>
      <w:r>
        <w:rPr>
          <w:rFonts w:ascii="宋体" w:hAnsi="宋体"/>
          <w:bCs/>
          <w:sz w:val="24"/>
          <w:szCs w:val="24"/>
          <w:highlight w:val="none"/>
        </w:rPr>
        <w:t>后，</w:t>
      </w:r>
      <w:r>
        <w:rPr>
          <w:rFonts w:hint="eastAsia" w:ascii="宋体" w:hAnsi="宋体"/>
          <w:bCs/>
          <w:sz w:val="24"/>
          <w:szCs w:val="24"/>
          <w:highlight w:val="none"/>
        </w:rPr>
        <w:t>评标委员会按照评审标准对技术标进行详细评审（详见评审附表），评审完成后，评审分数不得再更改。技术标得分前4名的有效参选人方可进入下一阶段商务标的评审。</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pStyle w:val="176"/>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（1）第二阶段，技术标评审结束后，将技术标前4名参选人的商务标移交至评标委员会，评标委员会对商务标部分进行初步评审（有效性审查），只有通过初步评审的商务标文件才有资格进入下一步的详细评审。</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（2）经商务标初步审查，评标委员会作出无效标或者废标处理，致有效参选人不足3家，比选人宣布本次比选失败，重新组织比选。</w:t>
      </w:r>
    </w:p>
    <w:p>
      <w:pPr>
        <w:pStyle w:val="176"/>
        <w:tabs>
          <w:tab w:val="left" w:pos="993"/>
        </w:tabs>
        <w:spacing w:line="360" w:lineRule="auto"/>
        <w:ind w:firstLine="424" w:firstLineChars="177"/>
        <w:rPr>
          <w:rFonts w:hint="eastAsia" w:ascii="宋体" w:hAnsi="宋体"/>
          <w:sz w:val="24"/>
          <w:szCs w:val="24"/>
          <w:highlight w:val="none"/>
        </w:rPr>
      </w:pPr>
      <w:r>
        <w:rPr>
          <w:rFonts w:hint="eastAsia" w:ascii="宋体" w:hAnsi="宋体"/>
          <w:sz w:val="24"/>
          <w:szCs w:val="24"/>
          <w:highlight w:val="none"/>
        </w:rPr>
        <w:t>（3）参选人</w:t>
      </w:r>
      <w:r>
        <w:rPr>
          <w:rFonts w:ascii="宋体" w:hAnsi="宋体"/>
          <w:sz w:val="24"/>
          <w:szCs w:val="24"/>
          <w:highlight w:val="none"/>
        </w:rPr>
        <w:t>的</w:t>
      </w:r>
      <w:r>
        <w:rPr>
          <w:rFonts w:hint="eastAsia" w:ascii="宋体" w:hAnsi="宋体"/>
          <w:sz w:val="24"/>
          <w:szCs w:val="24"/>
          <w:highlight w:val="none"/>
        </w:rPr>
        <w:t>参选</w:t>
      </w:r>
      <w:r>
        <w:rPr>
          <w:rFonts w:ascii="宋体" w:hAnsi="宋体"/>
          <w:sz w:val="24"/>
          <w:szCs w:val="24"/>
          <w:highlight w:val="none"/>
        </w:rPr>
        <w:t>报价中如出现算术错误，将按以下方法进行调整：</w:t>
      </w:r>
      <w:r>
        <w:rPr>
          <w:rFonts w:ascii="宋体" w:hAnsi="宋体"/>
          <w:sz w:val="24"/>
          <w:szCs w:val="24"/>
          <w:highlight w:val="none"/>
        </w:rPr>
        <w:br w:type="textWrapping"/>
      </w:r>
      <w:r>
        <w:rPr>
          <w:rFonts w:hint="eastAsia" w:ascii="宋体" w:hAnsi="宋体"/>
          <w:sz w:val="24"/>
          <w:szCs w:val="24"/>
          <w:highlight w:val="none"/>
        </w:rPr>
        <w:t>①参选</w:t>
      </w:r>
      <w:r>
        <w:rPr>
          <w:rFonts w:ascii="宋体" w:hAnsi="宋体"/>
          <w:sz w:val="24"/>
          <w:szCs w:val="24"/>
          <w:highlight w:val="none"/>
        </w:rPr>
        <w:t>文件中大写金额与小写金额不一致的，以大写金额为准；</w:t>
      </w:r>
      <w:r>
        <w:rPr>
          <w:rFonts w:ascii="宋体" w:hAnsi="宋体"/>
          <w:sz w:val="24"/>
          <w:szCs w:val="24"/>
          <w:highlight w:val="none"/>
        </w:rPr>
        <w:br w:type="textWrapping"/>
      </w:r>
      <w:r>
        <w:rPr>
          <w:rFonts w:hint="eastAsia" w:ascii="宋体" w:hAnsi="宋体"/>
          <w:sz w:val="24"/>
          <w:szCs w:val="24"/>
          <w:highlight w:val="none"/>
        </w:rPr>
        <w:t>②</w:t>
      </w:r>
      <w:r>
        <w:rPr>
          <w:rFonts w:ascii="宋体" w:hAnsi="宋体"/>
          <w:sz w:val="24"/>
          <w:szCs w:val="24"/>
          <w:highlight w:val="none"/>
        </w:rPr>
        <w:t>总价金额与按单价计算的总金额不一致的，以单价计算的总金额为准。除非单价有明显的小数点错误，此时应以合价金额为准，调整单价；</w:t>
      </w:r>
      <w:r>
        <w:rPr>
          <w:rFonts w:ascii="宋体" w:hAnsi="宋体"/>
          <w:sz w:val="24"/>
          <w:szCs w:val="24"/>
          <w:highlight w:val="none"/>
        </w:rPr>
        <w:br w:type="textWrapping"/>
      </w:r>
      <w:r>
        <w:rPr>
          <w:rFonts w:ascii="宋体" w:hAnsi="宋体"/>
          <w:sz w:val="24"/>
          <w:szCs w:val="24"/>
          <w:highlight w:val="none"/>
        </w:rPr>
        <w:t xml:space="preserve">    按照本规定的调整方法确定的调整后报价，须取得</w:t>
      </w:r>
      <w:r>
        <w:rPr>
          <w:rFonts w:hint="eastAsia" w:ascii="宋体" w:hAnsi="宋体"/>
          <w:sz w:val="24"/>
          <w:szCs w:val="24"/>
          <w:highlight w:val="none"/>
        </w:rPr>
        <w:t>参选</w:t>
      </w:r>
      <w:r>
        <w:rPr>
          <w:rFonts w:ascii="宋体" w:hAnsi="宋体"/>
          <w:sz w:val="24"/>
          <w:szCs w:val="24"/>
          <w:highlight w:val="none"/>
        </w:rPr>
        <w:t>人同意并书面签字确认。如果</w:t>
      </w:r>
      <w:r>
        <w:rPr>
          <w:rFonts w:hint="eastAsia" w:ascii="宋体" w:hAnsi="宋体"/>
          <w:sz w:val="24"/>
          <w:szCs w:val="24"/>
          <w:highlight w:val="none"/>
        </w:rPr>
        <w:t>参选</w:t>
      </w:r>
      <w:r>
        <w:rPr>
          <w:rFonts w:ascii="宋体" w:hAnsi="宋体"/>
          <w:sz w:val="24"/>
          <w:szCs w:val="24"/>
          <w:highlight w:val="none"/>
        </w:rPr>
        <w:t>人拒不接受调整方法以及调整后的报价的，其</w:t>
      </w:r>
      <w:r>
        <w:rPr>
          <w:rFonts w:hint="eastAsia" w:ascii="宋体" w:hAnsi="宋体"/>
          <w:sz w:val="24"/>
          <w:szCs w:val="24"/>
          <w:highlight w:val="none"/>
        </w:rPr>
        <w:t>参选</w:t>
      </w:r>
      <w:r>
        <w:rPr>
          <w:rFonts w:ascii="宋体" w:hAnsi="宋体"/>
          <w:sz w:val="24"/>
          <w:szCs w:val="24"/>
          <w:highlight w:val="none"/>
        </w:rPr>
        <w:t>将被拒绝。</w:t>
      </w:r>
      <w:r>
        <w:rPr>
          <w:rFonts w:ascii="宋体" w:hAnsi="宋体"/>
          <w:sz w:val="24"/>
          <w:szCs w:val="24"/>
          <w:highlight w:val="none"/>
        </w:rPr>
        <w:br w:type="textWrapping"/>
      </w:r>
      <w:r>
        <w:rPr>
          <w:rFonts w:ascii="宋体" w:hAnsi="宋体"/>
          <w:sz w:val="24"/>
          <w:szCs w:val="24"/>
          <w:highlight w:val="none"/>
        </w:rPr>
        <w:t xml:space="preserve">    </w:t>
      </w:r>
      <w:r>
        <w:rPr>
          <w:rFonts w:hint="eastAsia" w:ascii="宋体" w:hAnsi="宋体"/>
          <w:sz w:val="24"/>
          <w:szCs w:val="24"/>
          <w:highlight w:val="none"/>
        </w:rPr>
        <w:t>中选</w:t>
      </w:r>
      <w:r>
        <w:rPr>
          <w:rFonts w:ascii="宋体" w:hAnsi="宋体"/>
          <w:sz w:val="24"/>
          <w:szCs w:val="24"/>
          <w:highlight w:val="none"/>
        </w:rPr>
        <w:t>人的</w:t>
      </w:r>
      <w:r>
        <w:rPr>
          <w:rFonts w:hint="eastAsia" w:ascii="宋体" w:hAnsi="宋体"/>
          <w:sz w:val="24"/>
          <w:szCs w:val="24"/>
          <w:highlight w:val="none"/>
        </w:rPr>
        <w:t>参选</w:t>
      </w:r>
      <w:r>
        <w:rPr>
          <w:rFonts w:ascii="宋体" w:hAnsi="宋体"/>
          <w:sz w:val="24"/>
          <w:szCs w:val="24"/>
          <w:highlight w:val="none"/>
        </w:rPr>
        <w:t>报价是按照本节规定进行了调整的，其中</w:t>
      </w:r>
      <w:r>
        <w:rPr>
          <w:rFonts w:hint="eastAsia" w:ascii="宋体" w:hAnsi="宋体"/>
          <w:sz w:val="24"/>
          <w:szCs w:val="24"/>
          <w:highlight w:val="none"/>
        </w:rPr>
        <w:t>选</w:t>
      </w:r>
      <w:r>
        <w:rPr>
          <w:rFonts w:ascii="宋体" w:hAnsi="宋体"/>
          <w:sz w:val="24"/>
          <w:szCs w:val="24"/>
          <w:highlight w:val="none"/>
        </w:rPr>
        <w:t>价按就低不就高的原则确定。如果</w:t>
      </w:r>
      <w:r>
        <w:rPr>
          <w:rFonts w:hint="eastAsia" w:ascii="宋体" w:hAnsi="宋体"/>
          <w:sz w:val="24"/>
          <w:szCs w:val="24"/>
          <w:highlight w:val="none"/>
        </w:rPr>
        <w:t>参选</w:t>
      </w:r>
      <w:r>
        <w:rPr>
          <w:rFonts w:ascii="宋体" w:hAnsi="宋体"/>
          <w:sz w:val="24"/>
          <w:szCs w:val="24"/>
          <w:highlight w:val="none"/>
        </w:rPr>
        <w:t>人拒不接受的，其</w:t>
      </w:r>
      <w:r>
        <w:rPr>
          <w:rFonts w:hint="eastAsia" w:ascii="宋体" w:hAnsi="宋体"/>
          <w:sz w:val="24"/>
          <w:szCs w:val="24"/>
          <w:highlight w:val="none"/>
        </w:rPr>
        <w:t>参选</w:t>
      </w:r>
      <w:r>
        <w:rPr>
          <w:rFonts w:ascii="宋体" w:hAnsi="宋体"/>
          <w:sz w:val="24"/>
          <w:szCs w:val="24"/>
          <w:highlight w:val="none"/>
        </w:rPr>
        <w:t>将被拒绝。</w:t>
      </w:r>
      <w:r>
        <w:rPr>
          <w:rFonts w:ascii="宋体" w:hAnsi="宋体"/>
          <w:sz w:val="24"/>
          <w:szCs w:val="24"/>
          <w:highlight w:val="none"/>
        </w:rPr>
        <w:br w:type="textWrapping"/>
      </w:r>
      <w:r>
        <w:rPr>
          <w:rFonts w:ascii="宋体" w:hAnsi="宋体"/>
          <w:sz w:val="24"/>
          <w:szCs w:val="24"/>
          <w:highlight w:val="none"/>
        </w:rPr>
        <w:t xml:space="preserve">    </w:t>
      </w:r>
      <w:r>
        <w:rPr>
          <w:rFonts w:hint="eastAsia" w:ascii="宋体" w:hAnsi="宋体"/>
          <w:sz w:val="24"/>
          <w:szCs w:val="24"/>
          <w:highlight w:val="none"/>
        </w:rPr>
        <w:t>参选</w:t>
      </w:r>
      <w:r>
        <w:rPr>
          <w:rFonts w:ascii="宋体" w:hAnsi="宋体"/>
          <w:sz w:val="24"/>
          <w:szCs w:val="24"/>
          <w:highlight w:val="none"/>
        </w:rPr>
        <w:t>人的</w:t>
      </w:r>
      <w:r>
        <w:rPr>
          <w:rFonts w:hint="eastAsia" w:ascii="宋体" w:hAnsi="宋体"/>
          <w:sz w:val="24"/>
          <w:szCs w:val="24"/>
          <w:highlight w:val="none"/>
        </w:rPr>
        <w:t>参选</w:t>
      </w:r>
      <w:r>
        <w:rPr>
          <w:rFonts w:ascii="宋体" w:hAnsi="宋体"/>
          <w:sz w:val="24"/>
          <w:szCs w:val="24"/>
          <w:highlight w:val="none"/>
        </w:rPr>
        <w:t>报价的总价小于调整后的报价，中标价即为投标人的</w:t>
      </w:r>
      <w:r>
        <w:rPr>
          <w:rFonts w:hint="eastAsia" w:ascii="宋体" w:hAnsi="宋体"/>
          <w:sz w:val="24"/>
          <w:szCs w:val="24"/>
          <w:highlight w:val="none"/>
        </w:rPr>
        <w:t>参选</w:t>
      </w:r>
      <w:r>
        <w:rPr>
          <w:rFonts w:ascii="宋体" w:hAnsi="宋体"/>
          <w:sz w:val="24"/>
          <w:szCs w:val="24"/>
          <w:highlight w:val="none"/>
        </w:rPr>
        <w:t>报价的总价；</w:t>
      </w:r>
      <w:r>
        <w:rPr>
          <w:rFonts w:hint="eastAsia" w:ascii="宋体" w:hAnsi="宋体"/>
          <w:sz w:val="24"/>
          <w:szCs w:val="24"/>
          <w:highlight w:val="none"/>
        </w:rPr>
        <w:t>参选</w:t>
      </w:r>
      <w:r>
        <w:rPr>
          <w:rFonts w:ascii="宋体" w:hAnsi="宋体"/>
          <w:sz w:val="24"/>
          <w:szCs w:val="24"/>
          <w:highlight w:val="none"/>
        </w:rPr>
        <w:t>报价的总价大于调整后的报价，中</w:t>
      </w:r>
      <w:r>
        <w:rPr>
          <w:rFonts w:hint="eastAsia" w:ascii="宋体" w:hAnsi="宋体"/>
          <w:sz w:val="24"/>
          <w:szCs w:val="24"/>
          <w:highlight w:val="none"/>
        </w:rPr>
        <w:t>选</w:t>
      </w:r>
      <w:r>
        <w:rPr>
          <w:rFonts w:ascii="宋体" w:hAnsi="宋体"/>
          <w:sz w:val="24"/>
          <w:szCs w:val="24"/>
          <w:highlight w:val="none"/>
        </w:rPr>
        <w:t>价仍为</w:t>
      </w:r>
      <w:r>
        <w:rPr>
          <w:rFonts w:hint="eastAsia" w:ascii="宋体" w:hAnsi="宋体"/>
          <w:sz w:val="24"/>
          <w:szCs w:val="24"/>
          <w:highlight w:val="none"/>
        </w:rPr>
        <w:t>参选</w:t>
      </w:r>
      <w:r>
        <w:rPr>
          <w:rFonts w:ascii="宋体" w:hAnsi="宋体"/>
          <w:sz w:val="24"/>
          <w:szCs w:val="24"/>
          <w:highlight w:val="none"/>
        </w:rPr>
        <w:t>人的</w:t>
      </w:r>
      <w:r>
        <w:rPr>
          <w:rFonts w:hint="eastAsia" w:ascii="宋体" w:hAnsi="宋体"/>
          <w:sz w:val="24"/>
          <w:szCs w:val="24"/>
          <w:highlight w:val="none"/>
        </w:rPr>
        <w:t>参选</w:t>
      </w:r>
      <w:r>
        <w:rPr>
          <w:rFonts w:ascii="宋体" w:hAnsi="宋体"/>
          <w:sz w:val="24"/>
          <w:szCs w:val="24"/>
          <w:highlight w:val="none"/>
        </w:rPr>
        <w:t>报价的总价，调整后的报价与</w:t>
      </w:r>
      <w:r>
        <w:rPr>
          <w:rFonts w:hint="eastAsia" w:ascii="宋体" w:hAnsi="宋体"/>
          <w:sz w:val="24"/>
          <w:szCs w:val="24"/>
          <w:highlight w:val="none"/>
        </w:rPr>
        <w:t>参选</w:t>
      </w:r>
      <w:r>
        <w:rPr>
          <w:rFonts w:ascii="宋体" w:hAnsi="宋体"/>
          <w:sz w:val="24"/>
          <w:szCs w:val="24"/>
          <w:highlight w:val="none"/>
        </w:rPr>
        <w:t>报价的总价之间的差值部分则计入暂列金额。</w:t>
      </w:r>
    </w:p>
    <w:p>
      <w:pPr>
        <w:spacing w:line="360" w:lineRule="auto"/>
        <w:ind w:firstLine="283" w:firstLineChars="118"/>
        <w:rPr>
          <w:rFonts w:hint="eastAsia" w:ascii="宋体" w:hAnsi="宋体"/>
          <w:sz w:val="24"/>
          <w:szCs w:val="24"/>
          <w:highlight w:val="none"/>
        </w:rPr>
      </w:pPr>
      <w:r>
        <w:rPr>
          <w:rFonts w:hint="eastAsia" w:ascii="宋体" w:hAnsi="宋体"/>
          <w:sz w:val="24"/>
          <w:szCs w:val="24"/>
          <w:highlight w:val="none"/>
        </w:rPr>
        <w:t>（4）商务标初步审查后，评标委员会按照商务标计算公式，完成商务标分数计算。</w:t>
      </w:r>
    </w:p>
    <w:p>
      <w:pPr>
        <w:spacing w:line="360" w:lineRule="auto"/>
        <w:ind w:firstLine="283" w:firstLineChars="118"/>
        <w:rPr>
          <w:rFonts w:ascii="宋体" w:hAnsi="宋体" w:cs="宋体"/>
          <w:kern w:val="0"/>
          <w:sz w:val="24"/>
          <w:szCs w:val="24"/>
          <w:highlight w:val="none"/>
        </w:rPr>
      </w:pPr>
      <w:r>
        <w:rPr>
          <w:rFonts w:hint="eastAsia" w:ascii="宋体" w:hAnsi="宋体"/>
          <w:sz w:val="24"/>
          <w:szCs w:val="24"/>
          <w:highlight w:val="none"/>
        </w:rPr>
        <w:t>（5）</w:t>
      </w:r>
      <w:bookmarkStart w:id="109" w:name="_Hlk77376185"/>
      <w:r>
        <w:rPr>
          <w:rFonts w:hint="eastAsia" w:ascii="宋体" w:hAnsi="宋体" w:cs="宋体"/>
          <w:kern w:val="0"/>
          <w:sz w:val="24"/>
          <w:szCs w:val="24"/>
          <w:highlight w:val="none"/>
        </w:rPr>
        <w:t>若各参选人的报价，如出现税率不一致的情况，则以不含税总价作为参选人的报价进行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；若税率一致，则以含税总价作为参选人的报价进行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w:t>
      </w:r>
    </w:p>
    <w:bookmarkEnd w:id="109"/>
    <w:p>
      <w:pPr>
        <w:spacing w:line="360" w:lineRule="auto"/>
        <w:ind w:firstLine="403" w:firstLineChars="168"/>
        <w:rPr>
          <w:rFonts w:hint="eastAsia" w:ascii="宋体" w:hAnsi="宋体"/>
          <w:sz w:val="24"/>
          <w:szCs w:val="24"/>
          <w:highlight w:val="none"/>
        </w:rPr>
      </w:pPr>
      <w:r>
        <w:rPr>
          <w:rFonts w:ascii="宋体" w:hAnsi="宋体" w:cs="宋体"/>
          <w:kern w:val="0"/>
          <w:sz w:val="24"/>
          <w:szCs w:val="24"/>
          <w:highlight w:val="none"/>
        </w:rPr>
        <w:t>(</w:t>
      </w:r>
      <w:r>
        <w:rPr>
          <w:rFonts w:hint="eastAsia" w:ascii="宋体" w:hAnsi="宋体" w:cs="宋体"/>
          <w:kern w:val="0"/>
          <w:sz w:val="24"/>
          <w:szCs w:val="24"/>
          <w:highlight w:val="none"/>
        </w:rPr>
        <w:t>6</w:t>
      </w:r>
      <w:r>
        <w:rPr>
          <w:rFonts w:ascii="宋体" w:hAnsi="宋体" w:cs="宋体"/>
          <w:kern w:val="0"/>
          <w:sz w:val="24"/>
          <w:szCs w:val="24"/>
          <w:highlight w:val="none"/>
        </w:rPr>
        <w:t>)</w:t>
      </w:r>
      <w:r>
        <w:rPr>
          <w:rFonts w:hint="eastAsia" w:ascii="宋体" w:hAnsi="宋体"/>
          <w:sz w:val="24"/>
          <w:szCs w:val="24"/>
          <w:highlight w:val="none"/>
        </w:rPr>
        <w:t>其他情况均按照价格审核计算后，以不利于参选人的原则予以调整。</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汇总完成后，评委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委推荐一名中选候选人。</w:t>
      </w:r>
      <w:r>
        <w:rPr>
          <w:rFonts w:hint="eastAsia" w:ascii="宋体" w:hAnsi="宋体"/>
          <w:sz w:val="24"/>
          <w:highlight w:val="none"/>
        </w:rPr>
        <w:t>并形成评标报告。</w:t>
      </w:r>
    </w:p>
    <w:p>
      <w:pPr>
        <w:keepNext/>
        <w:keepLines/>
        <w:tabs>
          <w:tab w:val="left" w:pos="1260"/>
        </w:tabs>
        <w:adjustRightInd w:val="0"/>
        <w:spacing w:line="360" w:lineRule="auto"/>
        <w:ind w:firstLine="482" w:firstLineChars="200"/>
        <w:textAlignment w:val="baseline"/>
        <w:outlineLvl w:val="2"/>
        <w:rPr>
          <w:rFonts w:hint="eastAsia" w:ascii="宋体" w:hAnsi="宋体"/>
          <w:b/>
          <w:kern w:val="0"/>
          <w:sz w:val="24"/>
          <w:szCs w:val="24"/>
          <w:highlight w:val="none"/>
        </w:rPr>
      </w:pPr>
      <w:bookmarkStart w:id="110" w:name="_Toc57731981"/>
      <w:r>
        <w:rPr>
          <w:rFonts w:hint="eastAsia" w:ascii="宋体" w:hAnsi="宋体"/>
          <w:b/>
          <w:kern w:val="0"/>
          <w:sz w:val="24"/>
          <w:szCs w:val="24"/>
          <w:highlight w:val="none"/>
        </w:rPr>
        <w:t>四、评审标准</w:t>
      </w:r>
      <w:bookmarkEnd w:id="108"/>
      <w:bookmarkEnd w:id="110"/>
    </w:p>
    <w:p>
      <w:pPr>
        <w:widowControl/>
        <w:overflowPunct w:val="0"/>
        <w:autoSpaceDE w:val="0"/>
        <w:autoSpaceDN w:val="0"/>
        <w:adjustRightInd w:val="0"/>
        <w:spacing w:line="360" w:lineRule="auto"/>
        <w:ind w:firstLine="480" w:firstLineChars="200"/>
        <w:textAlignment w:val="baseline"/>
        <w:rPr>
          <w:rFonts w:ascii="宋体" w:hAnsi="宋体" w:cs="Arial"/>
          <w:snapToGrid w:val="0"/>
          <w:kern w:val="0"/>
          <w:sz w:val="24"/>
          <w:szCs w:val="24"/>
          <w:highlight w:val="none"/>
        </w:rPr>
      </w:pPr>
      <w:r>
        <w:rPr>
          <w:rFonts w:hint="eastAsia" w:ascii="宋体" w:hAnsi="宋体" w:cs="Arial"/>
          <w:snapToGrid w:val="0"/>
          <w:kern w:val="0"/>
          <w:sz w:val="24"/>
          <w:szCs w:val="24"/>
          <w:highlight w:val="none"/>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1" w:name="_Toc57731982"/>
      <w:bookmarkStart w:id="112" w:name="_Toc518494144"/>
      <w:r>
        <w:rPr>
          <w:rFonts w:hint="eastAsia" w:ascii="宋体" w:hAnsi="宋体"/>
          <w:b/>
          <w:kern w:val="0"/>
          <w:sz w:val="24"/>
          <w:szCs w:val="24"/>
          <w:highlight w:val="none"/>
        </w:rPr>
        <w:t>五、中选价确定原则</w:t>
      </w:r>
      <w:bookmarkEnd w:id="111"/>
      <w:bookmarkEnd w:id="112"/>
    </w:p>
    <w:p>
      <w:pPr>
        <w:tabs>
          <w:tab w:val="left" w:pos="851"/>
        </w:tabs>
        <w:spacing w:line="360" w:lineRule="auto"/>
        <w:ind w:firstLine="480" w:firstLineChars="200"/>
        <w:rPr>
          <w:rFonts w:ascii="宋体" w:hAnsi="宋体"/>
          <w:color w:val="000000"/>
          <w:sz w:val="24"/>
          <w:szCs w:val="24"/>
          <w:highlight w:val="none"/>
        </w:rPr>
      </w:pPr>
      <w:bookmarkStart w:id="113" w:name="_Toc518494145"/>
      <w:r>
        <w:rPr>
          <w:rFonts w:hint="eastAsia" w:ascii="宋体" w:hAnsi="宋体"/>
          <w:color w:val="000000"/>
          <w:sz w:val="24"/>
          <w:szCs w:val="24"/>
          <w:highlight w:val="none"/>
        </w:rPr>
        <w:t>中选人的总报价即为中选价。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4" w:name="_Toc57731983"/>
      <w:r>
        <w:rPr>
          <w:rFonts w:hint="eastAsia" w:ascii="宋体" w:hAnsi="宋体"/>
          <w:b/>
          <w:kern w:val="0"/>
          <w:sz w:val="24"/>
          <w:szCs w:val="24"/>
          <w:highlight w:val="none"/>
        </w:rPr>
        <w:t>六、定标</w:t>
      </w:r>
      <w:bookmarkEnd w:id="113"/>
      <w:bookmarkEnd w:id="114"/>
    </w:p>
    <w:p>
      <w:pPr>
        <w:spacing w:line="360" w:lineRule="auto"/>
        <w:ind w:firstLine="480" w:firstLineChars="200"/>
        <w:rPr>
          <w:rFonts w:ascii="宋体" w:hAnsi="宋体"/>
          <w:sz w:val="24"/>
          <w:szCs w:val="24"/>
          <w:highlight w:val="none"/>
        </w:rPr>
      </w:pPr>
      <w:bookmarkStart w:id="115" w:name="_Toc518494146"/>
      <w:r>
        <w:rPr>
          <w:rFonts w:hint="eastAsia" w:ascii="宋体" w:hAnsi="宋体"/>
          <w:sz w:val="24"/>
          <w:szCs w:val="24"/>
          <w:highlight w:val="none"/>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6" w:name="_Toc57731984"/>
      <w:r>
        <w:rPr>
          <w:rFonts w:hint="eastAsia" w:ascii="宋体" w:hAnsi="宋体"/>
          <w:b/>
          <w:kern w:val="0"/>
          <w:sz w:val="24"/>
          <w:szCs w:val="24"/>
          <w:highlight w:val="none"/>
        </w:rPr>
        <w:t>七、评标守则</w:t>
      </w:r>
      <w:bookmarkEnd w:id="115"/>
      <w:bookmarkEnd w:id="116"/>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（一）必须遵守评定标纪律，不得泄密；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（二）必须公正、公平，不得徇私；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（三）必须科学严谨，不得草率马虎；</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（四）必须客观，不得带有成见；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（五）必须平等，不得强加于人。</w:t>
      </w:r>
    </w:p>
    <w:p>
      <w:pPr>
        <w:pStyle w:val="3"/>
        <w:tabs>
          <w:tab w:val="left" w:pos="1050"/>
        </w:tabs>
        <w:ind w:left="0" w:leftChars="0" w:firstLine="482" w:firstLineChars="200"/>
        <w:rPr>
          <w:rFonts w:ascii="宋体" w:hAnsi="宋体"/>
          <w:b/>
          <w:bCs/>
          <w:sz w:val="24"/>
          <w:szCs w:val="24"/>
          <w:highlight w:val="none"/>
        </w:rPr>
      </w:pPr>
      <w:r>
        <w:rPr>
          <w:rFonts w:hint="eastAsia" w:ascii="宋体" w:hAnsi="宋体"/>
          <w:b/>
          <w:bCs/>
          <w:sz w:val="24"/>
          <w:szCs w:val="24"/>
          <w:highlight w:val="none"/>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hint="eastAsia" w:ascii="宋体" w:hAnsi="宋体" w:cs="Arial"/>
          <w:sz w:val="24"/>
          <w:szCs w:val="24"/>
          <w:highlight w:val="none"/>
        </w:rPr>
      </w:pPr>
    </w:p>
    <w:p>
      <w:pPr>
        <w:spacing w:line="360" w:lineRule="auto"/>
        <w:rPr>
          <w:rFonts w:ascii="宋体" w:hAnsi="宋体"/>
          <w:b/>
          <w:bCs/>
          <w:sz w:val="24"/>
          <w:szCs w:val="24"/>
          <w:highlight w:val="none"/>
        </w:rPr>
      </w:pPr>
      <w:r>
        <w:rPr>
          <w:rFonts w:ascii="宋体" w:hAnsi="宋体"/>
          <w:b/>
          <w:sz w:val="24"/>
          <w:szCs w:val="24"/>
          <w:highlight w:val="none"/>
        </w:rPr>
        <w:br w:type="page"/>
      </w:r>
      <w:r>
        <w:rPr>
          <w:rFonts w:hint="eastAsia" w:ascii="宋体" w:hAnsi="宋体"/>
          <w:b/>
          <w:sz w:val="24"/>
          <w:szCs w:val="24"/>
          <w:highlight w:val="none"/>
        </w:rPr>
        <w:t>附表1：</w:t>
      </w:r>
      <w:r>
        <w:rPr>
          <w:rFonts w:hint="eastAsia" w:ascii="宋体" w:hAnsi="宋体"/>
          <w:b/>
          <w:bCs/>
          <w:sz w:val="24"/>
          <w:szCs w:val="24"/>
          <w:highlight w:val="none"/>
        </w:rPr>
        <w:t>参选人简称表</w:t>
      </w:r>
    </w:p>
    <w:p>
      <w:pPr>
        <w:spacing w:line="360" w:lineRule="auto"/>
        <w:ind w:firstLine="597" w:firstLineChars="249"/>
        <w:rPr>
          <w:rFonts w:ascii="宋体" w:hAnsi="宋体"/>
          <w:sz w:val="24"/>
          <w:highlight w:val="none"/>
        </w:rPr>
      </w:pPr>
    </w:p>
    <w:p>
      <w:pPr>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参选人签到表</w:t>
      </w:r>
    </w:p>
    <w:p>
      <w:pPr>
        <w:spacing w:line="360" w:lineRule="auto"/>
        <w:jc w:val="center"/>
        <w:rPr>
          <w:rFonts w:ascii="宋体" w:hAnsi="宋体" w:cs="宋体"/>
          <w:b/>
          <w:bCs/>
          <w:kern w:val="0"/>
          <w:sz w:val="32"/>
          <w:szCs w:val="32"/>
          <w:highlight w:val="none"/>
        </w:rPr>
      </w:pPr>
    </w:p>
    <w:p>
      <w:pPr>
        <w:spacing w:after="120" w:afterLines="50" w:line="360" w:lineRule="auto"/>
        <w:jc w:val="right"/>
        <w:rPr>
          <w:rFonts w:ascii="宋体" w:hAnsi="宋体"/>
          <w:sz w:val="24"/>
          <w:szCs w:val="24"/>
          <w:highlight w:val="none"/>
        </w:rPr>
      </w:pPr>
      <w:r>
        <w:rPr>
          <w:rFonts w:hint="eastAsia" w:ascii="宋体" w:hAnsi="宋体"/>
          <w:sz w:val="24"/>
          <w:szCs w:val="24"/>
          <w:highlight w:val="none"/>
        </w:rPr>
        <w:t>日期：       年      月     日</w:t>
      </w:r>
    </w:p>
    <w:tbl>
      <w:tblPr>
        <w:tblStyle w:val="47"/>
        <w:tblW w:w="9134" w:type="dxa"/>
        <w:jc w:val="center"/>
        <w:tblLayout w:type="fixed"/>
        <w:tblCellMar>
          <w:top w:w="0" w:type="dxa"/>
          <w:left w:w="0" w:type="dxa"/>
          <w:bottom w:w="0" w:type="dxa"/>
          <w:right w:w="0" w:type="dxa"/>
        </w:tblCellMar>
      </w:tblPr>
      <w:tblGrid>
        <w:gridCol w:w="720"/>
        <w:gridCol w:w="2878"/>
        <w:gridCol w:w="1907"/>
        <w:gridCol w:w="1951"/>
        <w:gridCol w:w="1678"/>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序号</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参选人全称</w:t>
            </w: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参选人简称</w:t>
            </w: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参选人签字</w:t>
            </w:r>
          </w:p>
        </w:tc>
        <w:tc>
          <w:tcPr>
            <w:tcW w:w="16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备注</w:t>
            </w:r>
          </w:p>
        </w:tc>
      </w:tr>
      <w:tr>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1</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693"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2</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3"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3</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699"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r>
              <w:rPr>
                <w:rFonts w:ascii="宋体" w:hAnsi="宋体" w:cs="Arial"/>
                <w:kern w:val="0"/>
                <w:sz w:val="24"/>
                <w:szCs w:val="24"/>
                <w:highlight w:val="none"/>
              </w:rPr>
              <w:t>4</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69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5</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6</w:t>
            </w:r>
          </w:p>
        </w:tc>
        <w:tc>
          <w:tcPr>
            <w:tcW w:w="2878"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noWrap w:val="0"/>
            <w:vAlign w:val="top"/>
          </w:tcPr>
          <w:p>
            <w:pPr>
              <w:widowControl/>
              <w:spacing w:line="360" w:lineRule="auto"/>
              <w:rPr>
                <w:rFonts w:ascii="宋体" w:hAnsi="宋体"/>
                <w:sz w:val="24"/>
                <w:szCs w:val="24"/>
                <w:highlight w:val="none"/>
              </w:rPr>
            </w:pPr>
            <w:r>
              <w:rPr>
                <w:rFonts w:hint="eastAsia" w:ascii="宋体" w:hAnsi="宋体"/>
                <w:sz w:val="24"/>
                <w:szCs w:val="24"/>
                <w:highlight w:val="none"/>
              </w:rPr>
              <w:t>工作</w:t>
            </w:r>
            <w:r>
              <w:rPr>
                <w:rFonts w:ascii="宋体" w:hAnsi="宋体"/>
                <w:sz w:val="24"/>
                <w:szCs w:val="24"/>
                <w:highlight w:val="none"/>
              </w:rPr>
              <w:t>人员</w:t>
            </w:r>
            <w:r>
              <w:rPr>
                <w:rFonts w:hint="eastAsia" w:ascii="宋体" w:hAnsi="宋体"/>
                <w:sz w:val="24"/>
                <w:szCs w:val="24"/>
                <w:highlight w:val="none"/>
              </w:rPr>
              <w:t>(签名)：</w:t>
            </w:r>
          </w:p>
          <w:p>
            <w:pPr>
              <w:widowControl/>
              <w:spacing w:line="360" w:lineRule="auto"/>
              <w:rPr>
                <w:rFonts w:ascii="宋体" w:hAnsi="宋体"/>
                <w:sz w:val="24"/>
                <w:szCs w:val="24"/>
                <w:highlight w:val="none"/>
              </w:rPr>
            </w:pPr>
          </w:p>
          <w:p>
            <w:pPr>
              <w:widowControl/>
              <w:spacing w:line="360" w:lineRule="auto"/>
              <w:rPr>
                <w:rFonts w:ascii="宋体" w:hAnsi="宋体"/>
                <w:sz w:val="24"/>
                <w:szCs w:val="24"/>
                <w:highlight w:val="none"/>
              </w:rPr>
            </w:pPr>
          </w:p>
          <w:p>
            <w:pPr>
              <w:widowControl/>
              <w:spacing w:line="360" w:lineRule="auto"/>
              <w:rPr>
                <w:rFonts w:ascii="宋体" w:hAnsi="宋体"/>
                <w:sz w:val="24"/>
                <w:szCs w:val="24"/>
                <w:highlight w:val="none"/>
              </w:rPr>
            </w:pPr>
            <w:r>
              <w:rPr>
                <w:rFonts w:hint="eastAsia" w:ascii="宋体" w:hAnsi="宋体"/>
                <w:sz w:val="24"/>
                <w:szCs w:val="24"/>
                <w:highlight w:val="none"/>
              </w:rPr>
              <w:t>监督(签名)：</w:t>
            </w:r>
          </w:p>
        </w:tc>
      </w:tr>
    </w:tbl>
    <w:p>
      <w:pPr>
        <w:spacing w:line="360" w:lineRule="auto"/>
        <w:rPr>
          <w:rFonts w:hint="eastAsia" w:ascii="宋体" w:hAnsi="宋体" w:cs="Arial"/>
          <w:sz w:val="24"/>
          <w:szCs w:val="24"/>
          <w:highlight w:val="none"/>
        </w:rPr>
        <w:sectPr>
          <w:headerReference r:id="rId6" w:type="default"/>
          <w:pgSz w:w="11906" w:h="16838"/>
          <w:pgMar w:top="1134" w:right="1134" w:bottom="1134" w:left="1134" w:header="1247" w:footer="737" w:gutter="0"/>
          <w:cols w:space="720" w:num="1"/>
          <w:docGrid w:linePitch="380" w:charSpace="-4301"/>
        </w:sectPr>
      </w:pPr>
    </w:p>
    <w:bookmarkEnd w:id="2"/>
    <w:bookmarkEnd w:id="3"/>
    <w:bookmarkEnd w:id="4"/>
    <w:bookmarkEnd w:id="100"/>
    <w:p>
      <w:pPr>
        <w:spacing w:line="360" w:lineRule="auto"/>
        <w:ind w:firstLine="482" w:firstLineChars="200"/>
        <w:jc w:val="left"/>
        <w:rPr>
          <w:rFonts w:ascii="宋体" w:hAnsi="宋体" w:cs="宋体"/>
          <w:b/>
          <w:bCs/>
          <w:kern w:val="0"/>
          <w:sz w:val="24"/>
          <w:szCs w:val="24"/>
          <w:highlight w:val="none"/>
        </w:rPr>
      </w:pPr>
      <w:r>
        <w:rPr>
          <w:rFonts w:hint="eastAsia" w:ascii="宋体" w:hAnsi="宋体"/>
          <w:b/>
          <w:sz w:val="24"/>
          <w:szCs w:val="24"/>
          <w:highlight w:val="none"/>
        </w:rPr>
        <w:t>附表2</w:t>
      </w:r>
      <w:r>
        <w:rPr>
          <w:rFonts w:hint="eastAsia" w:ascii="宋体" w:hAnsi="宋体" w:cs="宋体"/>
          <w:b/>
          <w:bCs/>
          <w:kern w:val="0"/>
          <w:sz w:val="24"/>
          <w:szCs w:val="24"/>
          <w:highlight w:val="none"/>
        </w:rPr>
        <w:t>：  开标记录表</w:t>
      </w:r>
    </w:p>
    <w:p>
      <w:pPr>
        <w:snapToGrid w:val="0"/>
        <w:spacing w:line="360" w:lineRule="auto"/>
        <w:jc w:val="center"/>
        <w:outlineLvl w:val="4"/>
        <w:rPr>
          <w:rFonts w:ascii="宋体" w:hAnsi="宋体" w:cs="宋体"/>
          <w:b/>
          <w:kern w:val="0"/>
          <w:sz w:val="32"/>
          <w:szCs w:val="28"/>
          <w:highlight w:val="none"/>
        </w:rPr>
      </w:pPr>
      <w:r>
        <w:rPr>
          <w:rFonts w:hint="eastAsia" w:ascii="宋体" w:hAnsi="宋体" w:cs="宋体"/>
          <w:b/>
          <w:kern w:val="0"/>
          <w:sz w:val="32"/>
          <w:szCs w:val="28"/>
          <w:highlight w:val="none"/>
        </w:rPr>
        <w:t>开标记录表</w:t>
      </w:r>
    </w:p>
    <w:p>
      <w:pPr>
        <w:spacing w:line="360" w:lineRule="auto"/>
        <w:jc w:val="left"/>
        <w:rPr>
          <w:rFonts w:hint="eastAsia" w:ascii="宋体" w:hAnsi="宋体"/>
          <w:sz w:val="24"/>
          <w:szCs w:val="24"/>
          <w:highlight w:val="none"/>
        </w:rPr>
      </w:pPr>
      <w:r>
        <w:rPr>
          <w:rFonts w:hint="eastAsia" w:ascii="宋体" w:hAnsi="宋体" w:cs="宋体"/>
          <w:b/>
          <w:kern w:val="0"/>
          <w:sz w:val="24"/>
          <w:szCs w:val="24"/>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cs="宋体"/>
          <w:b/>
          <w:kern w:val="0"/>
          <w:sz w:val="24"/>
          <w:szCs w:val="24"/>
          <w:highlight w:val="none"/>
        </w:rPr>
        <w:t xml:space="preserve">服务                     </w:t>
      </w:r>
      <w:r>
        <w:rPr>
          <w:rFonts w:ascii="宋体" w:hAnsi="宋体" w:cs="宋体"/>
          <w:b/>
          <w:kern w:val="0"/>
          <w:sz w:val="24"/>
          <w:szCs w:val="24"/>
          <w:highlight w:val="none"/>
        </w:rPr>
        <w:t xml:space="preserve">     </w:t>
      </w:r>
      <w:r>
        <w:rPr>
          <w:rFonts w:hint="eastAsia" w:ascii="宋体" w:hAnsi="宋体" w:cs="宋体"/>
          <w:b/>
          <w:kern w:val="0"/>
          <w:sz w:val="24"/>
          <w:szCs w:val="24"/>
          <w:highlight w:val="none"/>
        </w:rPr>
        <w:t xml:space="preserve"> </w:t>
      </w:r>
      <w:r>
        <w:rPr>
          <w:rFonts w:hint="eastAsia" w:ascii="宋体" w:hAnsi="宋体"/>
          <w:sz w:val="24"/>
          <w:szCs w:val="24"/>
          <w:highlight w:val="none"/>
        </w:rPr>
        <w:t>日期： 20</w:t>
      </w:r>
      <w:r>
        <w:rPr>
          <w:rFonts w:ascii="宋体" w:hAnsi="宋体"/>
          <w:sz w:val="24"/>
          <w:szCs w:val="24"/>
          <w:highlight w:val="none"/>
        </w:rPr>
        <w:t>2</w:t>
      </w:r>
      <w:r>
        <w:rPr>
          <w:rFonts w:hint="eastAsia" w:ascii="宋体" w:hAnsi="宋体"/>
          <w:sz w:val="24"/>
          <w:szCs w:val="24"/>
          <w:highlight w:val="none"/>
        </w:rPr>
        <w:t xml:space="preserve">1年 </w:t>
      </w:r>
      <w:r>
        <w:rPr>
          <w:rFonts w:ascii="宋体" w:hAnsi="宋体"/>
          <w:sz w:val="24"/>
          <w:szCs w:val="24"/>
          <w:highlight w:val="none"/>
        </w:rPr>
        <w:t xml:space="preserve"> </w:t>
      </w:r>
      <w:r>
        <w:rPr>
          <w:rFonts w:hint="eastAsia" w:ascii="宋体" w:hAnsi="宋体"/>
          <w:sz w:val="24"/>
          <w:szCs w:val="24"/>
          <w:highlight w:val="none"/>
        </w:rPr>
        <w:t xml:space="preserve"> 月 </w:t>
      </w:r>
      <w:r>
        <w:rPr>
          <w:rFonts w:ascii="宋体" w:hAnsi="宋体"/>
          <w:sz w:val="24"/>
          <w:szCs w:val="24"/>
          <w:highlight w:val="none"/>
        </w:rPr>
        <w:t xml:space="preserve"> </w:t>
      </w:r>
      <w:r>
        <w:rPr>
          <w:rFonts w:hint="eastAsia" w:ascii="宋体" w:hAnsi="宋体"/>
          <w:sz w:val="24"/>
          <w:szCs w:val="24"/>
          <w:highlight w:val="none"/>
        </w:rPr>
        <w:t xml:space="preserve"> 日</w:t>
      </w:r>
    </w:p>
    <w:tbl>
      <w:tblPr>
        <w:tblStyle w:val="47"/>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2878"/>
        <w:gridCol w:w="1209"/>
        <w:gridCol w:w="1559"/>
        <w:gridCol w:w="1559"/>
        <w:gridCol w:w="1676"/>
        <w:gridCol w:w="1676"/>
        <w:gridCol w:w="1445"/>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97" w:type="pct"/>
            <w:vMerge w:val="restart"/>
            <w:noWrap w:val="0"/>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986" w:type="pct"/>
            <w:vMerge w:val="restart"/>
            <w:noWrap w:val="0"/>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项目</w:t>
            </w:r>
          </w:p>
        </w:tc>
        <w:tc>
          <w:tcPr>
            <w:tcW w:w="3716" w:type="pct"/>
            <w:gridSpan w:val="7"/>
            <w:noWrap w:val="0"/>
            <w:vAlign w:val="top"/>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参选人</w:t>
            </w:r>
            <w:r>
              <w:rPr>
                <w:rFonts w:hint="eastAsia" w:ascii="宋体" w:hAnsi="宋体"/>
                <w:b/>
                <w:bCs/>
                <w:szCs w:val="21"/>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6" w:hRule="atLeast"/>
        </w:trPr>
        <w:tc>
          <w:tcPr>
            <w:tcW w:w="297" w:type="pct"/>
            <w:vMerge w:val="continue"/>
            <w:noWrap w:val="0"/>
            <w:vAlign w:val="center"/>
          </w:tcPr>
          <w:p>
            <w:pPr>
              <w:widowControl/>
              <w:spacing w:line="360" w:lineRule="auto"/>
              <w:jc w:val="center"/>
              <w:rPr>
                <w:rFonts w:ascii="宋体" w:hAnsi="宋体" w:cs="宋体"/>
                <w:kern w:val="0"/>
                <w:szCs w:val="21"/>
                <w:highlight w:val="none"/>
              </w:rPr>
            </w:pPr>
          </w:p>
        </w:tc>
        <w:tc>
          <w:tcPr>
            <w:tcW w:w="986" w:type="pct"/>
            <w:vMerge w:val="continue"/>
            <w:noWrap w:val="0"/>
            <w:vAlign w:val="center"/>
          </w:tcPr>
          <w:p>
            <w:pPr>
              <w:widowControl/>
              <w:spacing w:line="360" w:lineRule="auto"/>
              <w:jc w:val="center"/>
              <w:rPr>
                <w:rFonts w:ascii="宋体" w:hAnsi="宋体" w:cs="宋体"/>
                <w:kern w:val="0"/>
                <w:szCs w:val="21"/>
                <w:highlight w:val="none"/>
              </w:rPr>
            </w:pPr>
          </w:p>
        </w:tc>
        <w:tc>
          <w:tcPr>
            <w:tcW w:w="414" w:type="pct"/>
            <w:noWrap w:val="0"/>
            <w:vAlign w:val="center"/>
          </w:tcPr>
          <w:p>
            <w:pPr>
              <w:spacing w:line="360" w:lineRule="auto"/>
              <w:jc w:val="center"/>
              <w:rPr>
                <w:rFonts w:ascii="宋体" w:hAnsi="宋体"/>
                <w:szCs w:val="21"/>
                <w:highlight w:val="none"/>
              </w:rPr>
            </w:pPr>
          </w:p>
        </w:tc>
        <w:tc>
          <w:tcPr>
            <w:tcW w:w="534" w:type="pct"/>
            <w:noWrap w:val="0"/>
            <w:vAlign w:val="top"/>
          </w:tcPr>
          <w:p>
            <w:pPr>
              <w:spacing w:line="360" w:lineRule="auto"/>
              <w:jc w:val="center"/>
              <w:rPr>
                <w:rFonts w:ascii="宋体" w:hAnsi="宋体"/>
                <w:szCs w:val="21"/>
                <w:highlight w:val="none"/>
              </w:rPr>
            </w:pPr>
          </w:p>
        </w:tc>
        <w:tc>
          <w:tcPr>
            <w:tcW w:w="534" w:type="pct"/>
            <w:noWrap w:val="0"/>
            <w:vAlign w:val="top"/>
          </w:tcPr>
          <w:p>
            <w:pPr>
              <w:spacing w:line="360" w:lineRule="auto"/>
              <w:jc w:val="center"/>
              <w:rPr>
                <w:rFonts w:ascii="宋体" w:hAnsi="宋体"/>
                <w:szCs w:val="21"/>
                <w:highlight w:val="none"/>
              </w:rPr>
            </w:pPr>
          </w:p>
        </w:tc>
        <w:tc>
          <w:tcPr>
            <w:tcW w:w="574" w:type="pct"/>
            <w:noWrap w:val="0"/>
            <w:vAlign w:val="top"/>
          </w:tcPr>
          <w:p>
            <w:pPr>
              <w:spacing w:line="360" w:lineRule="auto"/>
              <w:jc w:val="center"/>
              <w:rPr>
                <w:rFonts w:ascii="宋体" w:hAnsi="宋体"/>
                <w:szCs w:val="21"/>
                <w:highlight w:val="none"/>
              </w:rPr>
            </w:pPr>
          </w:p>
        </w:tc>
        <w:tc>
          <w:tcPr>
            <w:tcW w:w="574" w:type="pct"/>
            <w:noWrap w:val="0"/>
            <w:vAlign w:val="center"/>
          </w:tcPr>
          <w:p>
            <w:pPr>
              <w:spacing w:line="360" w:lineRule="auto"/>
              <w:jc w:val="center"/>
              <w:rPr>
                <w:rFonts w:ascii="宋体" w:hAnsi="宋体"/>
                <w:szCs w:val="21"/>
                <w:highlight w:val="none"/>
              </w:rPr>
            </w:pPr>
          </w:p>
        </w:tc>
        <w:tc>
          <w:tcPr>
            <w:tcW w:w="495" w:type="pct"/>
            <w:noWrap w:val="0"/>
            <w:vAlign w:val="center"/>
          </w:tcPr>
          <w:p>
            <w:pPr>
              <w:spacing w:line="360" w:lineRule="auto"/>
              <w:jc w:val="center"/>
              <w:rPr>
                <w:rFonts w:ascii="宋体" w:hAnsi="宋体"/>
                <w:szCs w:val="21"/>
                <w:highlight w:val="none"/>
              </w:rPr>
            </w:pPr>
          </w:p>
        </w:tc>
        <w:tc>
          <w:tcPr>
            <w:tcW w:w="590" w:type="pct"/>
            <w:noWrap w:val="0"/>
            <w:vAlign w:val="center"/>
          </w:tcPr>
          <w:p>
            <w:pPr>
              <w:spacing w:line="360" w:lineRule="auto"/>
              <w:jc w:val="center"/>
              <w:rPr>
                <w:rFonts w:ascii="宋体" w:hAnsi="宋体"/>
                <w:b/>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7" w:type="pct"/>
            <w:noWrap w:val="0"/>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1</w:t>
            </w:r>
          </w:p>
        </w:tc>
        <w:tc>
          <w:tcPr>
            <w:tcW w:w="986" w:type="pct"/>
            <w:noWrap w:val="0"/>
            <w:vAlign w:val="center"/>
          </w:tcPr>
          <w:p>
            <w:pPr>
              <w:widowControl/>
              <w:spacing w:line="360" w:lineRule="auto"/>
              <w:jc w:val="center"/>
              <w:rPr>
                <w:rFonts w:ascii="宋体" w:hAnsi="宋体" w:cs="宋体"/>
                <w:kern w:val="0"/>
                <w:szCs w:val="21"/>
                <w:highlight w:val="none"/>
              </w:rPr>
            </w:pPr>
            <w:r>
              <w:rPr>
                <w:rFonts w:hint="eastAsia" w:ascii="宋体" w:hAnsi="宋体"/>
                <w:szCs w:val="21"/>
                <w:highlight w:val="none"/>
              </w:rPr>
              <w:t>参选文件在截止时间前送达指定地点</w:t>
            </w:r>
          </w:p>
        </w:tc>
        <w:tc>
          <w:tcPr>
            <w:tcW w:w="414" w:type="pct"/>
            <w:noWrap w:val="0"/>
            <w:vAlign w:val="center"/>
          </w:tcPr>
          <w:p>
            <w:pPr>
              <w:widowControl/>
              <w:spacing w:line="360" w:lineRule="auto"/>
              <w:jc w:val="center"/>
              <w:rPr>
                <w:rFonts w:ascii="宋体" w:hAnsi="宋体"/>
                <w:szCs w:val="21"/>
                <w:highlight w:val="none"/>
              </w:rPr>
            </w:pPr>
          </w:p>
        </w:tc>
        <w:tc>
          <w:tcPr>
            <w:tcW w:w="534" w:type="pct"/>
            <w:noWrap w:val="0"/>
            <w:vAlign w:val="top"/>
          </w:tcPr>
          <w:p>
            <w:pPr>
              <w:widowControl/>
              <w:spacing w:line="360" w:lineRule="auto"/>
              <w:jc w:val="center"/>
              <w:rPr>
                <w:rFonts w:ascii="宋体" w:hAnsi="宋体"/>
                <w:szCs w:val="21"/>
                <w:highlight w:val="none"/>
              </w:rPr>
            </w:pPr>
          </w:p>
        </w:tc>
        <w:tc>
          <w:tcPr>
            <w:tcW w:w="534" w:type="pct"/>
            <w:noWrap w:val="0"/>
            <w:vAlign w:val="top"/>
          </w:tcPr>
          <w:p>
            <w:pPr>
              <w:widowControl/>
              <w:spacing w:line="360" w:lineRule="auto"/>
              <w:jc w:val="center"/>
              <w:rPr>
                <w:rFonts w:ascii="宋体" w:hAnsi="宋体"/>
                <w:szCs w:val="21"/>
                <w:highlight w:val="none"/>
              </w:rPr>
            </w:pPr>
          </w:p>
        </w:tc>
        <w:tc>
          <w:tcPr>
            <w:tcW w:w="574" w:type="pct"/>
            <w:noWrap w:val="0"/>
            <w:vAlign w:val="top"/>
          </w:tcPr>
          <w:p>
            <w:pPr>
              <w:widowControl/>
              <w:spacing w:line="360" w:lineRule="auto"/>
              <w:jc w:val="center"/>
              <w:rPr>
                <w:rFonts w:ascii="宋体" w:hAnsi="宋体"/>
                <w:szCs w:val="21"/>
                <w:highlight w:val="none"/>
              </w:rPr>
            </w:pPr>
          </w:p>
        </w:tc>
        <w:tc>
          <w:tcPr>
            <w:tcW w:w="574" w:type="pct"/>
            <w:noWrap w:val="0"/>
            <w:vAlign w:val="center"/>
          </w:tcPr>
          <w:p>
            <w:pPr>
              <w:widowControl/>
              <w:spacing w:line="360" w:lineRule="auto"/>
              <w:jc w:val="center"/>
              <w:rPr>
                <w:rFonts w:ascii="宋体" w:hAnsi="宋体"/>
                <w:szCs w:val="21"/>
                <w:highlight w:val="none"/>
              </w:rPr>
            </w:pPr>
          </w:p>
        </w:tc>
        <w:tc>
          <w:tcPr>
            <w:tcW w:w="495" w:type="pct"/>
            <w:noWrap w:val="0"/>
            <w:vAlign w:val="center"/>
          </w:tcPr>
          <w:p>
            <w:pPr>
              <w:widowControl/>
              <w:spacing w:line="360" w:lineRule="auto"/>
              <w:jc w:val="center"/>
              <w:rPr>
                <w:rFonts w:ascii="宋体" w:hAnsi="宋体"/>
                <w:szCs w:val="21"/>
                <w:highlight w:val="none"/>
              </w:rPr>
            </w:pPr>
          </w:p>
        </w:tc>
        <w:tc>
          <w:tcPr>
            <w:tcW w:w="590" w:type="pct"/>
            <w:noWrap w:val="0"/>
            <w:vAlign w:val="center"/>
          </w:tcPr>
          <w:p>
            <w:pPr>
              <w:widowControl/>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297" w:type="pct"/>
            <w:noWrap w:val="0"/>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2</w:t>
            </w:r>
          </w:p>
        </w:tc>
        <w:tc>
          <w:tcPr>
            <w:tcW w:w="986" w:type="pct"/>
            <w:noWrap w:val="0"/>
            <w:vAlign w:val="center"/>
          </w:tcPr>
          <w:p>
            <w:pPr>
              <w:widowControl/>
              <w:spacing w:line="360" w:lineRule="auto"/>
              <w:jc w:val="center"/>
              <w:rPr>
                <w:rFonts w:ascii="宋体" w:hAnsi="宋体"/>
                <w:bCs/>
                <w:szCs w:val="21"/>
                <w:highlight w:val="none"/>
              </w:rPr>
            </w:pPr>
            <w:r>
              <w:rPr>
                <w:rFonts w:hint="eastAsia" w:ascii="宋体" w:hAnsi="宋体"/>
                <w:bCs/>
                <w:szCs w:val="21"/>
                <w:highlight w:val="none"/>
              </w:rPr>
              <w:t>参选文件按规定密封</w:t>
            </w:r>
          </w:p>
        </w:tc>
        <w:tc>
          <w:tcPr>
            <w:tcW w:w="414" w:type="pct"/>
            <w:noWrap w:val="0"/>
            <w:vAlign w:val="center"/>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center"/>
          </w:tcPr>
          <w:p>
            <w:pPr>
              <w:widowControl/>
              <w:spacing w:line="360" w:lineRule="auto"/>
              <w:jc w:val="center"/>
              <w:rPr>
                <w:rFonts w:ascii="宋体" w:hAnsi="宋体" w:cs="宋体"/>
                <w:b/>
                <w:kern w:val="0"/>
                <w:szCs w:val="21"/>
                <w:highlight w:val="none"/>
              </w:rPr>
            </w:pPr>
          </w:p>
        </w:tc>
        <w:tc>
          <w:tcPr>
            <w:tcW w:w="495" w:type="pct"/>
            <w:noWrap w:val="0"/>
            <w:vAlign w:val="center"/>
          </w:tcPr>
          <w:p>
            <w:pPr>
              <w:widowControl/>
              <w:spacing w:line="360" w:lineRule="auto"/>
              <w:jc w:val="center"/>
              <w:rPr>
                <w:rFonts w:ascii="宋体" w:hAnsi="宋体" w:cs="宋体"/>
                <w:b/>
                <w:kern w:val="0"/>
                <w:szCs w:val="21"/>
                <w:highlight w:val="none"/>
              </w:rPr>
            </w:pPr>
          </w:p>
        </w:tc>
        <w:tc>
          <w:tcPr>
            <w:tcW w:w="590" w:type="pct"/>
            <w:noWrap w:val="0"/>
            <w:vAlign w:val="center"/>
          </w:tcPr>
          <w:p>
            <w:pPr>
              <w:widowControl/>
              <w:spacing w:line="360" w:lineRule="auto"/>
              <w:jc w:val="center"/>
              <w:rPr>
                <w:rFonts w:ascii="宋体" w:hAnsi="宋体" w:cs="宋体"/>
                <w:b/>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7" w:type="pct"/>
            <w:noWrap w:val="0"/>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3</w:t>
            </w:r>
          </w:p>
        </w:tc>
        <w:tc>
          <w:tcPr>
            <w:tcW w:w="986" w:type="pct"/>
            <w:noWrap w:val="0"/>
            <w:vAlign w:val="center"/>
          </w:tcPr>
          <w:p>
            <w:pPr>
              <w:widowControl/>
              <w:spacing w:line="360" w:lineRule="auto"/>
              <w:jc w:val="center"/>
              <w:rPr>
                <w:rFonts w:hint="eastAsia" w:ascii="宋体" w:hAnsi="宋体"/>
                <w:bCs/>
                <w:szCs w:val="21"/>
                <w:highlight w:val="none"/>
              </w:rPr>
            </w:pPr>
            <w:r>
              <w:rPr>
                <w:rFonts w:hint="eastAsia" w:ascii="宋体" w:hAnsi="宋体"/>
                <w:bCs/>
                <w:szCs w:val="21"/>
                <w:highlight w:val="none"/>
              </w:rPr>
              <w:t>总报价</w:t>
            </w:r>
          </w:p>
        </w:tc>
        <w:tc>
          <w:tcPr>
            <w:tcW w:w="414" w:type="pct"/>
            <w:noWrap w:val="0"/>
            <w:vAlign w:val="center"/>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center"/>
          </w:tcPr>
          <w:p>
            <w:pPr>
              <w:widowControl/>
              <w:spacing w:line="360" w:lineRule="auto"/>
              <w:jc w:val="center"/>
              <w:rPr>
                <w:rFonts w:ascii="宋体" w:hAnsi="宋体" w:cs="宋体"/>
                <w:b/>
                <w:kern w:val="0"/>
                <w:szCs w:val="21"/>
                <w:highlight w:val="none"/>
              </w:rPr>
            </w:pPr>
          </w:p>
        </w:tc>
        <w:tc>
          <w:tcPr>
            <w:tcW w:w="495" w:type="pct"/>
            <w:noWrap w:val="0"/>
            <w:vAlign w:val="center"/>
          </w:tcPr>
          <w:p>
            <w:pPr>
              <w:widowControl/>
              <w:spacing w:line="360" w:lineRule="auto"/>
              <w:jc w:val="center"/>
              <w:rPr>
                <w:rFonts w:ascii="宋体" w:hAnsi="宋体" w:cs="宋体"/>
                <w:b/>
                <w:kern w:val="0"/>
                <w:szCs w:val="21"/>
                <w:highlight w:val="none"/>
              </w:rPr>
            </w:pPr>
          </w:p>
        </w:tc>
        <w:tc>
          <w:tcPr>
            <w:tcW w:w="590" w:type="pct"/>
            <w:noWrap w:val="0"/>
            <w:vAlign w:val="center"/>
          </w:tcPr>
          <w:p>
            <w:pPr>
              <w:widowControl/>
              <w:spacing w:line="360" w:lineRule="auto"/>
              <w:jc w:val="center"/>
              <w:rPr>
                <w:rFonts w:ascii="宋体" w:hAnsi="宋体" w:cs="宋体"/>
                <w:b/>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7" w:type="pct"/>
            <w:noWrap w:val="0"/>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4</w:t>
            </w:r>
          </w:p>
        </w:tc>
        <w:tc>
          <w:tcPr>
            <w:tcW w:w="986" w:type="pct"/>
            <w:noWrap w:val="0"/>
            <w:vAlign w:val="center"/>
          </w:tcPr>
          <w:p>
            <w:pPr>
              <w:widowControl/>
              <w:spacing w:line="360" w:lineRule="auto"/>
              <w:jc w:val="center"/>
              <w:rPr>
                <w:rFonts w:hint="eastAsia" w:ascii="宋体" w:hAnsi="宋体"/>
                <w:bCs/>
                <w:szCs w:val="21"/>
                <w:highlight w:val="none"/>
              </w:rPr>
            </w:pPr>
            <w:r>
              <w:rPr>
                <w:rFonts w:hint="eastAsia" w:ascii="宋体" w:hAnsi="宋体"/>
                <w:bCs/>
                <w:szCs w:val="21"/>
                <w:highlight w:val="none"/>
                <w:lang w:val="en-US" w:eastAsia="zh-CN"/>
              </w:rPr>
              <w:t>系列营销活动</w:t>
            </w:r>
            <w:r>
              <w:rPr>
                <w:rFonts w:hint="eastAsia" w:ascii="宋体" w:hAnsi="宋体"/>
                <w:bCs/>
                <w:szCs w:val="21"/>
                <w:highlight w:val="none"/>
              </w:rPr>
              <w:t>报价</w:t>
            </w:r>
          </w:p>
        </w:tc>
        <w:tc>
          <w:tcPr>
            <w:tcW w:w="414" w:type="pct"/>
            <w:noWrap w:val="0"/>
            <w:vAlign w:val="center"/>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center"/>
          </w:tcPr>
          <w:p>
            <w:pPr>
              <w:widowControl/>
              <w:spacing w:line="360" w:lineRule="auto"/>
              <w:jc w:val="center"/>
              <w:rPr>
                <w:rFonts w:ascii="宋体" w:hAnsi="宋体" w:cs="宋体"/>
                <w:b/>
                <w:kern w:val="0"/>
                <w:szCs w:val="21"/>
                <w:highlight w:val="none"/>
              </w:rPr>
            </w:pPr>
          </w:p>
        </w:tc>
        <w:tc>
          <w:tcPr>
            <w:tcW w:w="495" w:type="pct"/>
            <w:noWrap w:val="0"/>
            <w:vAlign w:val="center"/>
          </w:tcPr>
          <w:p>
            <w:pPr>
              <w:widowControl/>
              <w:spacing w:line="360" w:lineRule="auto"/>
              <w:jc w:val="center"/>
              <w:rPr>
                <w:rFonts w:ascii="宋体" w:hAnsi="宋体" w:cs="宋体"/>
                <w:b/>
                <w:kern w:val="0"/>
                <w:szCs w:val="21"/>
                <w:highlight w:val="none"/>
              </w:rPr>
            </w:pPr>
          </w:p>
        </w:tc>
        <w:tc>
          <w:tcPr>
            <w:tcW w:w="590" w:type="pct"/>
            <w:noWrap w:val="0"/>
            <w:vAlign w:val="center"/>
          </w:tcPr>
          <w:p>
            <w:pPr>
              <w:widowControl/>
              <w:spacing w:line="360" w:lineRule="auto"/>
              <w:rPr>
                <w:rFonts w:ascii="宋体" w:hAnsi="宋体" w:cs="宋体"/>
                <w:b/>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97" w:type="pct"/>
            <w:noWrap w:val="0"/>
            <w:vAlign w:val="center"/>
          </w:tcPr>
          <w:p>
            <w:pPr>
              <w:widowControl/>
              <w:spacing w:line="360" w:lineRule="auto"/>
              <w:jc w:val="center"/>
              <w:rPr>
                <w:rFonts w:hint="eastAsia" w:ascii="宋体" w:hAnsi="宋体" w:cs="宋体"/>
                <w:b/>
                <w:kern w:val="0"/>
                <w:szCs w:val="21"/>
                <w:highlight w:val="none"/>
              </w:rPr>
            </w:pPr>
            <w:r>
              <w:rPr>
                <w:rFonts w:hint="eastAsia" w:ascii="宋体" w:hAnsi="宋体" w:cs="宋体"/>
                <w:b/>
                <w:kern w:val="0"/>
                <w:szCs w:val="21"/>
                <w:highlight w:val="none"/>
              </w:rPr>
              <w:t>5</w:t>
            </w:r>
          </w:p>
        </w:tc>
        <w:tc>
          <w:tcPr>
            <w:tcW w:w="986" w:type="pct"/>
            <w:noWrap w:val="0"/>
            <w:vAlign w:val="center"/>
          </w:tcPr>
          <w:p>
            <w:pPr>
              <w:widowControl/>
              <w:spacing w:line="360" w:lineRule="auto"/>
              <w:jc w:val="center"/>
              <w:rPr>
                <w:rFonts w:hint="eastAsia" w:ascii="宋体" w:hAnsi="宋体"/>
                <w:bCs/>
                <w:szCs w:val="21"/>
                <w:highlight w:val="none"/>
              </w:rPr>
            </w:pPr>
            <w:r>
              <w:rPr>
                <w:rFonts w:hint="eastAsia" w:ascii="宋体" w:hAnsi="宋体"/>
                <w:bCs/>
                <w:szCs w:val="21"/>
                <w:highlight w:val="none"/>
                <w:lang w:val="en-US" w:eastAsia="zh-CN"/>
              </w:rPr>
              <w:t>现场包装服务</w:t>
            </w:r>
            <w:r>
              <w:rPr>
                <w:rFonts w:hint="eastAsia" w:ascii="宋体" w:hAnsi="宋体"/>
                <w:bCs/>
                <w:szCs w:val="21"/>
                <w:highlight w:val="none"/>
              </w:rPr>
              <w:t>报价</w:t>
            </w:r>
          </w:p>
        </w:tc>
        <w:tc>
          <w:tcPr>
            <w:tcW w:w="414" w:type="pct"/>
            <w:noWrap w:val="0"/>
            <w:vAlign w:val="center"/>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3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top"/>
          </w:tcPr>
          <w:p>
            <w:pPr>
              <w:widowControl/>
              <w:spacing w:line="360" w:lineRule="auto"/>
              <w:jc w:val="center"/>
              <w:rPr>
                <w:rFonts w:ascii="宋体" w:hAnsi="宋体" w:cs="宋体"/>
                <w:b/>
                <w:kern w:val="0"/>
                <w:szCs w:val="21"/>
                <w:highlight w:val="none"/>
              </w:rPr>
            </w:pPr>
          </w:p>
        </w:tc>
        <w:tc>
          <w:tcPr>
            <w:tcW w:w="574" w:type="pct"/>
            <w:noWrap w:val="0"/>
            <w:vAlign w:val="center"/>
          </w:tcPr>
          <w:p>
            <w:pPr>
              <w:widowControl/>
              <w:spacing w:line="360" w:lineRule="auto"/>
              <w:jc w:val="center"/>
              <w:rPr>
                <w:rFonts w:ascii="宋体" w:hAnsi="宋体" w:cs="宋体"/>
                <w:b/>
                <w:kern w:val="0"/>
                <w:szCs w:val="21"/>
                <w:highlight w:val="none"/>
              </w:rPr>
            </w:pPr>
          </w:p>
        </w:tc>
        <w:tc>
          <w:tcPr>
            <w:tcW w:w="495" w:type="pct"/>
            <w:noWrap w:val="0"/>
            <w:vAlign w:val="center"/>
          </w:tcPr>
          <w:p>
            <w:pPr>
              <w:widowControl/>
              <w:spacing w:line="360" w:lineRule="auto"/>
              <w:jc w:val="center"/>
              <w:rPr>
                <w:rFonts w:ascii="宋体" w:hAnsi="宋体" w:cs="宋体"/>
                <w:b/>
                <w:kern w:val="0"/>
                <w:szCs w:val="21"/>
                <w:highlight w:val="none"/>
              </w:rPr>
            </w:pPr>
          </w:p>
        </w:tc>
        <w:tc>
          <w:tcPr>
            <w:tcW w:w="590" w:type="pct"/>
            <w:noWrap w:val="0"/>
            <w:vAlign w:val="center"/>
          </w:tcPr>
          <w:p>
            <w:pPr>
              <w:widowControl/>
              <w:spacing w:line="360" w:lineRule="auto"/>
              <w:jc w:val="center"/>
              <w:rPr>
                <w:rFonts w:ascii="宋体" w:hAnsi="宋体" w:cs="宋体"/>
                <w:b/>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6" w:hRule="atLeast"/>
        </w:trPr>
        <w:tc>
          <w:tcPr>
            <w:tcW w:w="1283" w:type="pct"/>
            <w:gridSpan w:val="2"/>
            <w:noWrap w:val="0"/>
            <w:vAlign w:val="center"/>
          </w:tcPr>
          <w:p>
            <w:pPr>
              <w:widowControl/>
              <w:spacing w:line="360" w:lineRule="auto"/>
              <w:jc w:val="center"/>
              <w:rPr>
                <w:rFonts w:ascii="宋体" w:hAnsi="宋体" w:cs="宋体"/>
                <w:kern w:val="0"/>
                <w:szCs w:val="21"/>
                <w:highlight w:val="none"/>
              </w:rPr>
            </w:pPr>
            <w:r>
              <w:rPr>
                <w:rFonts w:hint="eastAsia" w:ascii="宋体" w:hAnsi="宋体" w:cs="宋体"/>
                <w:kern w:val="0"/>
                <w:szCs w:val="21"/>
                <w:highlight w:val="none"/>
              </w:rPr>
              <w:t>参选人签名确认</w:t>
            </w:r>
          </w:p>
        </w:tc>
        <w:tc>
          <w:tcPr>
            <w:tcW w:w="414" w:type="pct"/>
            <w:noWrap w:val="0"/>
            <w:vAlign w:val="center"/>
          </w:tcPr>
          <w:p>
            <w:pPr>
              <w:widowControl/>
              <w:spacing w:line="360" w:lineRule="auto"/>
              <w:jc w:val="center"/>
              <w:rPr>
                <w:rFonts w:ascii="宋体" w:hAnsi="宋体" w:cs="宋体"/>
                <w:kern w:val="0"/>
                <w:szCs w:val="21"/>
                <w:highlight w:val="none"/>
              </w:rPr>
            </w:pPr>
          </w:p>
        </w:tc>
        <w:tc>
          <w:tcPr>
            <w:tcW w:w="534" w:type="pct"/>
            <w:noWrap w:val="0"/>
            <w:vAlign w:val="top"/>
          </w:tcPr>
          <w:p>
            <w:pPr>
              <w:widowControl/>
              <w:spacing w:line="360" w:lineRule="auto"/>
              <w:jc w:val="center"/>
              <w:rPr>
                <w:rFonts w:ascii="宋体" w:hAnsi="宋体" w:cs="宋体"/>
                <w:kern w:val="0"/>
                <w:szCs w:val="21"/>
                <w:highlight w:val="none"/>
              </w:rPr>
            </w:pPr>
          </w:p>
        </w:tc>
        <w:tc>
          <w:tcPr>
            <w:tcW w:w="534" w:type="pct"/>
            <w:noWrap w:val="0"/>
            <w:vAlign w:val="top"/>
          </w:tcPr>
          <w:p>
            <w:pPr>
              <w:widowControl/>
              <w:spacing w:line="360" w:lineRule="auto"/>
              <w:jc w:val="center"/>
              <w:rPr>
                <w:rFonts w:ascii="宋体" w:hAnsi="宋体" w:cs="宋体"/>
                <w:kern w:val="0"/>
                <w:szCs w:val="21"/>
                <w:highlight w:val="none"/>
              </w:rPr>
            </w:pPr>
          </w:p>
        </w:tc>
        <w:tc>
          <w:tcPr>
            <w:tcW w:w="574" w:type="pct"/>
            <w:noWrap w:val="0"/>
            <w:vAlign w:val="top"/>
          </w:tcPr>
          <w:p>
            <w:pPr>
              <w:widowControl/>
              <w:spacing w:line="360" w:lineRule="auto"/>
              <w:jc w:val="center"/>
              <w:rPr>
                <w:rFonts w:ascii="宋体" w:hAnsi="宋体" w:cs="宋体"/>
                <w:kern w:val="0"/>
                <w:szCs w:val="21"/>
                <w:highlight w:val="none"/>
              </w:rPr>
            </w:pPr>
          </w:p>
        </w:tc>
        <w:tc>
          <w:tcPr>
            <w:tcW w:w="574" w:type="pct"/>
            <w:noWrap w:val="0"/>
            <w:vAlign w:val="center"/>
          </w:tcPr>
          <w:p>
            <w:pPr>
              <w:widowControl/>
              <w:spacing w:line="360" w:lineRule="auto"/>
              <w:jc w:val="center"/>
              <w:rPr>
                <w:rFonts w:ascii="宋体" w:hAnsi="宋体" w:cs="宋体"/>
                <w:kern w:val="0"/>
                <w:szCs w:val="21"/>
                <w:highlight w:val="none"/>
              </w:rPr>
            </w:pPr>
          </w:p>
        </w:tc>
        <w:tc>
          <w:tcPr>
            <w:tcW w:w="495" w:type="pct"/>
            <w:noWrap w:val="0"/>
            <w:vAlign w:val="center"/>
          </w:tcPr>
          <w:p>
            <w:pPr>
              <w:widowControl/>
              <w:spacing w:line="360" w:lineRule="auto"/>
              <w:jc w:val="center"/>
              <w:rPr>
                <w:rFonts w:ascii="宋体" w:hAnsi="宋体" w:cs="宋体"/>
                <w:kern w:val="0"/>
                <w:szCs w:val="21"/>
                <w:highlight w:val="none"/>
              </w:rPr>
            </w:pPr>
          </w:p>
        </w:tc>
        <w:tc>
          <w:tcPr>
            <w:tcW w:w="590" w:type="pct"/>
            <w:noWrap w:val="0"/>
            <w:vAlign w:val="center"/>
          </w:tcPr>
          <w:p>
            <w:pPr>
              <w:widowControl/>
              <w:spacing w:line="360" w:lineRule="auto"/>
              <w:jc w:val="center"/>
              <w:rPr>
                <w:rFonts w:ascii="宋体" w:hAnsi="宋体" w:cs="宋体"/>
                <w:kern w:val="0"/>
                <w:szCs w:val="21"/>
                <w:highlight w:val="none"/>
              </w:rPr>
            </w:pPr>
          </w:p>
        </w:tc>
      </w:tr>
    </w:tbl>
    <w:p>
      <w:pPr>
        <w:pStyle w:val="3"/>
        <w:ind w:left="118" w:leftChars="56" w:firstLine="0" w:firstLineChars="0"/>
        <w:rPr>
          <w:rFonts w:ascii="宋体" w:hAnsi="宋体"/>
          <w:b/>
          <w:sz w:val="24"/>
          <w:szCs w:val="24"/>
          <w:highlight w:val="none"/>
        </w:rPr>
      </w:pPr>
      <w:r>
        <w:rPr>
          <w:rFonts w:hint="eastAsia" w:ascii="宋体" w:hAnsi="宋体"/>
          <w:b/>
          <w:sz w:val="24"/>
          <w:szCs w:val="24"/>
          <w:highlight w:val="none"/>
        </w:rPr>
        <w:t>记录人签名：</w:t>
      </w:r>
    </w:p>
    <w:p>
      <w:pPr>
        <w:pStyle w:val="3"/>
        <w:ind w:left="118" w:leftChars="56" w:firstLine="0" w:firstLineChars="0"/>
        <w:rPr>
          <w:rFonts w:ascii="宋体" w:hAnsi="宋体"/>
          <w:b/>
          <w:sz w:val="24"/>
          <w:szCs w:val="24"/>
          <w:highlight w:val="none"/>
        </w:rPr>
      </w:pPr>
      <w:r>
        <w:rPr>
          <w:rFonts w:hint="eastAsia" w:ascii="宋体" w:hAnsi="宋体"/>
          <w:b/>
          <w:sz w:val="24"/>
          <w:szCs w:val="24"/>
          <w:highlight w:val="none"/>
        </w:rPr>
        <w:t>复核人签名：</w:t>
      </w:r>
    </w:p>
    <w:p>
      <w:pPr>
        <w:pStyle w:val="3"/>
        <w:ind w:left="118" w:leftChars="56" w:firstLine="0" w:firstLineChars="0"/>
        <w:rPr>
          <w:rFonts w:hint="eastAsia" w:ascii="宋体" w:hAnsi="宋体"/>
          <w:sz w:val="24"/>
          <w:szCs w:val="24"/>
          <w:highlight w:val="none"/>
        </w:rPr>
      </w:pPr>
      <w:r>
        <w:rPr>
          <w:rFonts w:hint="eastAsia" w:ascii="宋体" w:hAnsi="宋体"/>
          <w:b/>
          <w:sz w:val="24"/>
          <w:szCs w:val="24"/>
          <w:highlight w:val="none"/>
        </w:rPr>
        <w:t>监督人签名：                                                                              日期：</w:t>
      </w:r>
      <w:r>
        <w:rPr>
          <w:rFonts w:hint="eastAsia" w:ascii="宋体" w:hAnsi="宋体"/>
          <w:sz w:val="24"/>
          <w:szCs w:val="24"/>
          <w:highlight w:val="none"/>
        </w:rPr>
        <w:t xml:space="preserve">     年    月    日</w:t>
      </w:r>
    </w:p>
    <w:p>
      <w:pPr>
        <w:spacing w:line="360" w:lineRule="auto"/>
        <w:jc w:val="left"/>
        <w:rPr>
          <w:rFonts w:hint="eastAsia" w:ascii="宋体" w:hAnsi="宋体" w:cs="宋体"/>
          <w:b/>
          <w:bCs/>
          <w:kern w:val="0"/>
          <w:sz w:val="24"/>
          <w:szCs w:val="24"/>
          <w:highlight w:val="none"/>
        </w:rPr>
      </w:pPr>
      <w:r>
        <w:rPr>
          <w:rFonts w:ascii="宋体" w:hAnsi="宋体" w:cs="宋体"/>
          <w:b/>
          <w:kern w:val="0"/>
          <w:sz w:val="24"/>
          <w:szCs w:val="24"/>
          <w:highlight w:val="none"/>
        </w:rPr>
        <w:br w:type="page"/>
      </w:r>
      <w:r>
        <w:rPr>
          <w:rFonts w:hint="eastAsia" w:ascii="宋体" w:hAnsi="宋体" w:cs="宋体"/>
          <w:b/>
          <w:kern w:val="0"/>
          <w:sz w:val="24"/>
          <w:szCs w:val="24"/>
          <w:highlight w:val="none"/>
        </w:rPr>
        <w:t xml:space="preserve">附表3：技术标初步评审表 </w:t>
      </w:r>
      <w:r>
        <w:rPr>
          <w:rFonts w:hint="eastAsia" w:ascii="宋体" w:hAnsi="宋体" w:cs="宋体"/>
          <w:b/>
          <w:bCs/>
          <w:kern w:val="0"/>
          <w:sz w:val="24"/>
          <w:szCs w:val="24"/>
          <w:highlight w:val="none"/>
        </w:rPr>
        <w:t xml:space="preserve">            </w:t>
      </w:r>
    </w:p>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技术标初步评审表</w:t>
      </w:r>
    </w:p>
    <w:p>
      <w:pPr>
        <w:spacing w:line="360" w:lineRule="auto"/>
        <w:jc w:val="left"/>
        <w:rPr>
          <w:rFonts w:hint="eastAsia" w:ascii="宋体" w:hAnsi="宋体"/>
          <w:sz w:val="24"/>
          <w:szCs w:val="24"/>
          <w:highlight w:val="none"/>
        </w:rPr>
      </w:pPr>
      <w:r>
        <w:rPr>
          <w:rFonts w:hint="eastAsia" w:ascii="宋体" w:hAnsi="宋体" w:cs="宋体"/>
          <w:b/>
          <w:kern w:val="0"/>
          <w:sz w:val="24"/>
          <w:szCs w:val="24"/>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cs="宋体"/>
          <w:b/>
          <w:kern w:val="0"/>
          <w:sz w:val="24"/>
          <w:szCs w:val="24"/>
          <w:highlight w:val="none"/>
        </w:rPr>
        <w:t xml:space="preserve">服务                       </w:t>
      </w:r>
    </w:p>
    <w:tbl>
      <w:tblPr>
        <w:tblStyle w:val="47"/>
        <w:tblW w:w="13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726"/>
        <w:gridCol w:w="1220"/>
        <w:gridCol w:w="1275"/>
        <w:gridCol w:w="1276"/>
        <w:gridCol w:w="127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6" w:hRule="atLeast"/>
          <w:jc w:val="center"/>
        </w:trPr>
        <w:tc>
          <w:tcPr>
            <w:tcW w:w="1255" w:type="dxa"/>
            <w:vMerge w:val="restart"/>
            <w:noWrap w:val="0"/>
            <w:vAlign w:val="center"/>
          </w:tcPr>
          <w:p>
            <w:pPr>
              <w:spacing w:line="360" w:lineRule="auto"/>
              <w:jc w:val="center"/>
              <w:rPr>
                <w:rFonts w:ascii="宋体" w:hAnsi="宋体"/>
                <w:b/>
                <w:bCs/>
                <w:szCs w:val="21"/>
                <w:highlight w:val="none"/>
              </w:rPr>
            </w:pPr>
            <w:r>
              <w:rPr>
                <w:rFonts w:hint="eastAsia" w:ascii="宋体" w:hAnsi="宋体"/>
                <w:b/>
                <w:bCs/>
                <w:szCs w:val="21"/>
                <w:highlight w:val="none"/>
              </w:rPr>
              <w:t>序号</w:t>
            </w:r>
          </w:p>
        </w:tc>
        <w:tc>
          <w:tcPr>
            <w:tcW w:w="5726" w:type="dxa"/>
            <w:vMerge w:val="restart"/>
            <w:tcBorders>
              <w:tl2br w:val="single" w:color="auto" w:sz="4" w:space="0"/>
            </w:tcBorders>
            <w:noWrap w:val="0"/>
            <w:vAlign w:val="center"/>
          </w:tcPr>
          <w:p>
            <w:pPr>
              <w:spacing w:line="360" w:lineRule="auto"/>
              <w:jc w:val="center"/>
              <w:rPr>
                <w:rFonts w:ascii="宋体" w:hAnsi="宋体"/>
                <w:b/>
                <w:bCs/>
                <w:szCs w:val="21"/>
                <w:highlight w:val="none"/>
              </w:rPr>
            </w:pPr>
            <w:r>
              <w:rPr>
                <w:rFonts w:hint="eastAsia" w:ascii="宋体" w:hAnsi="宋体"/>
                <w:b/>
                <w:bCs/>
                <w:szCs w:val="21"/>
                <w:highlight w:val="none"/>
              </w:rPr>
              <w:t>项目名称                       参选人</w:t>
            </w:r>
          </w:p>
        </w:tc>
        <w:tc>
          <w:tcPr>
            <w:tcW w:w="6379" w:type="dxa"/>
            <w:gridSpan w:val="5"/>
            <w:noWrap w:val="0"/>
            <w:vAlign w:val="bottom"/>
          </w:tcPr>
          <w:p>
            <w:pPr>
              <w:spacing w:line="360" w:lineRule="auto"/>
              <w:jc w:val="center"/>
              <w:rPr>
                <w:rFonts w:ascii="宋体" w:hAnsi="宋体"/>
                <w:b/>
                <w:bCs/>
                <w:szCs w:val="21"/>
                <w:highlight w:val="none"/>
              </w:rPr>
            </w:pPr>
            <w:r>
              <w:rPr>
                <w:rFonts w:hint="eastAsia" w:ascii="宋体" w:hAnsi="宋体"/>
                <w:b/>
                <w:bCs/>
                <w:szCs w:val="21"/>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1255" w:type="dxa"/>
            <w:vMerge w:val="continue"/>
            <w:tcBorders>
              <w:bottom w:val="single" w:color="auto" w:sz="4" w:space="0"/>
            </w:tcBorders>
            <w:noWrap w:val="0"/>
            <w:vAlign w:val="center"/>
          </w:tcPr>
          <w:p>
            <w:pPr>
              <w:spacing w:line="360" w:lineRule="auto"/>
              <w:jc w:val="center"/>
              <w:rPr>
                <w:rFonts w:ascii="宋体" w:hAnsi="宋体"/>
                <w:b/>
                <w:bCs/>
                <w:szCs w:val="21"/>
                <w:highlight w:val="none"/>
              </w:rPr>
            </w:pPr>
          </w:p>
        </w:tc>
        <w:tc>
          <w:tcPr>
            <w:tcW w:w="5726" w:type="dxa"/>
            <w:vMerge w:val="continue"/>
            <w:tcBorders>
              <w:bottom w:val="single" w:color="auto" w:sz="4" w:space="0"/>
            </w:tcBorders>
            <w:noWrap w:val="0"/>
            <w:vAlign w:val="center"/>
          </w:tcPr>
          <w:p>
            <w:pPr>
              <w:spacing w:line="360" w:lineRule="auto"/>
              <w:jc w:val="center"/>
              <w:rPr>
                <w:rFonts w:ascii="宋体" w:hAnsi="宋体"/>
                <w:b/>
                <w:bCs/>
                <w:szCs w:val="21"/>
                <w:highlight w:val="none"/>
              </w:rPr>
            </w:pPr>
          </w:p>
        </w:tc>
        <w:tc>
          <w:tcPr>
            <w:tcW w:w="1220" w:type="dxa"/>
            <w:noWrap w:val="0"/>
            <w:vAlign w:val="center"/>
          </w:tcPr>
          <w:p>
            <w:pPr>
              <w:spacing w:line="360" w:lineRule="auto"/>
              <w:jc w:val="center"/>
              <w:rPr>
                <w:rFonts w:ascii="宋体" w:hAnsi="宋体"/>
                <w:szCs w:val="21"/>
                <w:highlight w:val="none"/>
              </w:rPr>
            </w:pPr>
          </w:p>
        </w:tc>
        <w:tc>
          <w:tcPr>
            <w:tcW w:w="1275"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332" w:type="dxa"/>
            <w:noWrap w:val="0"/>
            <w:vAlign w:val="top"/>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255" w:type="dxa"/>
            <w:tcBorders>
              <w:bottom w:val="single" w:color="auto" w:sz="4" w:space="0"/>
            </w:tcBorders>
            <w:noWrap w:val="0"/>
            <w:vAlign w:val="center"/>
          </w:tcPr>
          <w:p>
            <w:pPr>
              <w:spacing w:line="360" w:lineRule="auto"/>
              <w:jc w:val="center"/>
              <w:rPr>
                <w:rFonts w:ascii="宋体" w:hAnsi="宋体"/>
                <w:szCs w:val="21"/>
                <w:highlight w:val="none"/>
              </w:rPr>
            </w:pPr>
            <w:r>
              <w:rPr>
                <w:rFonts w:hint="eastAsia" w:ascii="宋体" w:hAnsi="宋体"/>
                <w:szCs w:val="21"/>
                <w:highlight w:val="none"/>
              </w:rPr>
              <w:t>1</w:t>
            </w:r>
          </w:p>
        </w:tc>
        <w:tc>
          <w:tcPr>
            <w:tcW w:w="5726" w:type="dxa"/>
            <w:tcBorders>
              <w:bottom w:val="single" w:color="auto" w:sz="4" w:space="0"/>
            </w:tcBorders>
            <w:noWrap w:val="0"/>
            <w:vAlign w:val="center"/>
          </w:tcPr>
          <w:p>
            <w:pPr>
              <w:spacing w:line="360" w:lineRule="auto"/>
              <w:rPr>
                <w:rFonts w:ascii="宋体" w:hAnsi="宋体"/>
                <w:szCs w:val="21"/>
                <w:highlight w:val="none"/>
              </w:rPr>
            </w:pPr>
            <w:r>
              <w:rPr>
                <w:rFonts w:hint="eastAsia" w:ascii="宋体" w:hAnsi="宋体"/>
                <w:szCs w:val="21"/>
                <w:highlight w:val="none"/>
              </w:rPr>
              <w:t>参选文件按要求加盖参选人公章</w:t>
            </w:r>
          </w:p>
        </w:tc>
        <w:tc>
          <w:tcPr>
            <w:tcW w:w="1220" w:type="dxa"/>
            <w:noWrap w:val="0"/>
            <w:vAlign w:val="center"/>
          </w:tcPr>
          <w:p>
            <w:pPr>
              <w:spacing w:line="360" w:lineRule="auto"/>
              <w:jc w:val="center"/>
              <w:rPr>
                <w:rFonts w:ascii="宋体" w:hAnsi="宋体"/>
                <w:szCs w:val="21"/>
                <w:highlight w:val="none"/>
              </w:rPr>
            </w:pPr>
          </w:p>
        </w:tc>
        <w:tc>
          <w:tcPr>
            <w:tcW w:w="1275"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332" w:type="dxa"/>
            <w:noWrap w:val="0"/>
            <w:vAlign w:val="top"/>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highlight w:val="none"/>
              </w:rPr>
            </w:pPr>
            <w:r>
              <w:rPr>
                <w:rFonts w:hint="eastAsia" w:ascii="宋体" w:hAnsi="宋体"/>
                <w:szCs w:val="21"/>
                <w:highlight w:val="none"/>
              </w:rPr>
              <w:t>2</w:t>
            </w:r>
          </w:p>
        </w:tc>
        <w:tc>
          <w:tcPr>
            <w:tcW w:w="57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ascii="宋体" w:hAnsi="宋体"/>
                <w:szCs w:val="21"/>
                <w:highlight w:val="none"/>
              </w:rPr>
            </w:pPr>
            <w:r>
              <w:rPr>
                <w:rFonts w:hint="eastAsia" w:ascii="宋体" w:hAnsi="宋体"/>
                <w:szCs w:val="21"/>
                <w:highlight w:val="none"/>
              </w:rPr>
              <w:t>参选文件经法定代表人或其委托代理人签字或盖章，或由委托代理人签字并随参选文件一起提供“法定代表人授权书”原件</w:t>
            </w:r>
          </w:p>
        </w:tc>
        <w:tc>
          <w:tcPr>
            <w:tcW w:w="1220" w:type="dxa"/>
            <w:tcBorders>
              <w:left w:val="single" w:color="auto" w:sz="4" w:space="0"/>
            </w:tcBorders>
            <w:noWrap w:val="0"/>
            <w:vAlign w:val="center"/>
          </w:tcPr>
          <w:p>
            <w:pPr>
              <w:spacing w:line="360" w:lineRule="auto"/>
              <w:jc w:val="center"/>
              <w:rPr>
                <w:rFonts w:ascii="宋体" w:hAnsi="宋体"/>
                <w:szCs w:val="21"/>
                <w:highlight w:val="none"/>
              </w:rPr>
            </w:pPr>
          </w:p>
        </w:tc>
        <w:tc>
          <w:tcPr>
            <w:tcW w:w="1275"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332" w:type="dxa"/>
            <w:noWrap w:val="0"/>
            <w:vAlign w:val="top"/>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57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szCs w:val="21"/>
                <w:highlight w:val="none"/>
              </w:rPr>
            </w:pPr>
            <w:r>
              <w:rPr>
                <w:rFonts w:hint="eastAsia" w:ascii="宋体" w:hAnsi="宋体" w:eastAsia="宋体" w:cs="Times New Roman"/>
                <w:kern w:val="0"/>
                <w:szCs w:val="21"/>
                <w:highlight w:val="none"/>
              </w:rPr>
              <w:t>公司必须是在中华人民共和国境内注册的独立法人机构。公司注册成立时间不得晚于2013年12月31日</w:t>
            </w:r>
            <w:r>
              <w:rPr>
                <w:rFonts w:hint="eastAsia" w:ascii="宋体" w:hAnsi="宋体"/>
                <w:kern w:val="0"/>
                <w:szCs w:val="21"/>
                <w:highlight w:val="none"/>
              </w:rPr>
              <w:t>。</w:t>
            </w:r>
          </w:p>
        </w:tc>
        <w:tc>
          <w:tcPr>
            <w:tcW w:w="1220" w:type="dxa"/>
            <w:tcBorders>
              <w:left w:val="single" w:color="auto" w:sz="4" w:space="0"/>
            </w:tcBorders>
            <w:noWrap w:val="0"/>
            <w:vAlign w:val="center"/>
          </w:tcPr>
          <w:p>
            <w:pPr>
              <w:spacing w:line="360" w:lineRule="auto"/>
              <w:jc w:val="center"/>
              <w:rPr>
                <w:rFonts w:ascii="宋体" w:hAnsi="宋体"/>
                <w:szCs w:val="21"/>
                <w:highlight w:val="none"/>
              </w:rPr>
            </w:pPr>
          </w:p>
        </w:tc>
        <w:tc>
          <w:tcPr>
            <w:tcW w:w="1275"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332" w:type="dxa"/>
            <w:noWrap w:val="0"/>
            <w:vAlign w:val="top"/>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57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szCs w:val="21"/>
                <w:highlight w:val="none"/>
              </w:rPr>
            </w:pPr>
            <w:r>
              <w:rPr>
                <w:rFonts w:hint="eastAsia" w:ascii="宋体" w:hAnsi="宋体" w:eastAsia="宋体" w:cs="Times New Roman"/>
                <w:kern w:val="0"/>
                <w:szCs w:val="21"/>
                <w:highlight w:val="none"/>
              </w:rPr>
              <w:t>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w:t>
            </w:r>
            <w:r>
              <w:rPr>
                <w:rFonts w:hint="eastAsia" w:ascii="宋体" w:hAnsi="宋体"/>
                <w:kern w:val="0"/>
                <w:szCs w:val="21"/>
                <w:highlight w:val="none"/>
              </w:rPr>
              <w:t>。</w:t>
            </w:r>
          </w:p>
        </w:tc>
        <w:tc>
          <w:tcPr>
            <w:tcW w:w="1220" w:type="dxa"/>
            <w:tcBorders>
              <w:left w:val="single" w:color="auto" w:sz="4" w:space="0"/>
            </w:tcBorders>
            <w:noWrap w:val="0"/>
            <w:vAlign w:val="center"/>
          </w:tcPr>
          <w:p>
            <w:pPr>
              <w:spacing w:line="360" w:lineRule="auto"/>
              <w:jc w:val="center"/>
              <w:rPr>
                <w:rFonts w:ascii="宋体" w:hAnsi="宋体"/>
                <w:szCs w:val="21"/>
                <w:highlight w:val="none"/>
              </w:rPr>
            </w:pPr>
          </w:p>
        </w:tc>
        <w:tc>
          <w:tcPr>
            <w:tcW w:w="1275"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332" w:type="dxa"/>
            <w:noWrap w:val="0"/>
            <w:vAlign w:val="top"/>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6981" w:type="dxa"/>
            <w:gridSpan w:val="2"/>
            <w:tcBorders>
              <w:top w:val="single" w:color="auto" w:sz="4" w:space="0"/>
            </w:tcBorders>
            <w:noWrap w:val="0"/>
            <w:vAlign w:val="center"/>
          </w:tcPr>
          <w:p>
            <w:pPr>
              <w:spacing w:line="360" w:lineRule="auto"/>
              <w:jc w:val="center"/>
              <w:rPr>
                <w:rFonts w:ascii="宋体" w:hAnsi="宋体"/>
                <w:szCs w:val="21"/>
                <w:highlight w:val="none"/>
              </w:rPr>
            </w:pPr>
            <w:r>
              <w:rPr>
                <w:rFonts w:hint="eastAsia" w:ascii="宋体" w:hAnsi="宋体"/>
                <w:b/>
                <w:bCs/>
                <w:szCs w:val="21"/>
                <w:highlight w:val="none"/>
              </w:rPr>
              <w:t>评审结论：</w:t>
            </w:r>
          </w:p>
        </w:tc>
        <w:tc>
          <w:tcPr>
            <w:tcW w:w="1220" w:type="dxa"/>
            <w:noWrap w:val="0"/>
            <w:vAlign w:val="center"/>
          </w:tcPr>
          <w:p>
            <w:pPr>
              <w:spacing w:line="360" w:lineRule="auto"/>
              <w:jc w:val="center"/>
              <w:rPr>
                <w:rFonts w:ascii="宋体" w:hAnsi="宋体"/>
                <w:szCs w:val="21"/>
                <w:highlight w:val="none"/>
              </w:rPr>
            </w:pPr>
          </w:p>
        </w:tc>
        <w:tc>
          <w:tcPr>
            <w:tcW w:w="1275"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276" w:type="dxa"/>
            <w:noWrap w:val="0"/>
            <w:vAlign w:val="top"/>
          </w:tcPr>
          <w:p>
            <w:pPr>
              <w:spacing w:line="360" w:lineRule="auto"/>
              <w:jc w:val="center"/>
              <w:rPr>
                <w:rFonts w:ascii="宋体" w:hAnsi="宋体"/>
                <w:szCs w:val="21"/>
                <w:highlight w:val="none"/>
              </w:rPr>
            </w:pPr>
          </w:p>
        </w:tc>
        <w:tc>
          <w:tcPr>
            <w:tcW w:w="1332" w:type="dxa"/>
            <w:noWrap w:val="0"/>
            <w:vAlign w:val="top"/>
          </w:tcPr>
          <w:p>
            <w:pPr>
              <w:spacing w:line="360" w:lineRule="auto"/>
              <w:jc w:val="center"/>
              <w:rPr>
                <w:rFonts w:ascii="宋体" w:hAnsi="宋体"/>
                <w:szCs w:val="21"/>
                <w:highlight w:val="none"/>
              </w:rPr>
            </w:pPr>
          </w:p>
        </w:tc>
      </w:tr>
    </w:tbl>
    <w:p>
      <w:pPr>
        <w:tabs>
          <w:tab w:val="left" w:pos="0"/>
        </w:tabs>
        <w:snapToGrid w:val="0"/>
        <w:spacing w:line="360" w:lineRule="auto"/>
        <w:ind w:firstLine="422" w:firstLineChars="200"/>
        <w:rPr>
          <w:rFonts w:ascii="宋体" w:hAnsi="宋体"/>
          <w:szCs w:val="21"/>
          <w:highlight w:val="none"/>
        </w:rPr>
      </w:pPr>
      <w:r>
        <w:rPr>
          <w:rFonts w:hint="eastAsia" w:ascii="宋体" w:hAnsi="宋体"/>
          <w:b/>
          <w:szCs w:val="21"/>
          <w:highlight w:val="none"/>
        </w:rPr>
        <w:t>说明：</w:t>
      </w:r>
      <w:r>
        <w:rPr>
          <w:rFonts w:hint="eastAsia" w:ascii="宋体" w:hAnsi="宋体"/>
          <w:szCs w:val="21"/>
          <w:highlight w:val="none"/>
        </w:rPr>
        <w:t>1、评审通过的用“√”表示，未通过的用“×”表示。结论用“合格”或“不合格”表示。</w:t>
      </w:r>
    </w:p>
    <w:p>
      <w:pPr>
        <w:tabs>
          <w:tab w:val="left" w:pos="0"/>
        </w:tabs>
        <w:snapToGrid w:val="0"/>
        <w:spacing w:line="360" w:lineRule="auto"/>
        <w:ind w:firstLine="1050" w:firstLineChars="500"/>
        <w:rPr>
          <w:rFonts w:ascii="宋体" w:hAnsi="宋体"/>
          <w:sz w:val="24"/>
          <w:szCs w:val="24"/>
          <w:highlight w:val="none"/>
        </w:rPr>
      </w:pPr>
      <w:r>
        <w:rPr>
          <w:rFonts w:hint="eastAsia" w:ascii="宋体" w:hAnsi="宋体"/>
          <w:szCs w:val="21"/>
          <w:highlight w:val="none"/>
        </w:rPr>
        <w:t>2、只有以上项目全部通过，评审结论为“合格”，否则结论为“不合格”。</w:t>
      </w:r>
    </w:p>
    <w:p>
      <w:pPr>
        <w:widowControl/>
        <w:spacing w:line="360" w:lineRule="auto"/>
        <w:rPr>
          <w:rFonts w:hint="eastAsia" w:ascii="宋体" w:hAnsi="宋体"/>
          <w:b/>
          <w:sz w:val="24"/>
          <w:szCs w:val="24"/>
          <w:highlight w:val="none"/>
        </w:rPr>
      </w:pPr>
      <w:r>
        <w:rPr>
          <w:rFonts w:hint="eastAsia" w:ascii="宋体" w:hAnsi="宋体"/>
          <w:b/>
          <w:sz w:val="24"/>
          <w:szCs w:val="24"/>
          <w:highlight w:val="none"/>
        </w:rPr>
        <w:t>评标</w:t>
      </w:r>
      <w:r>
        <w:rPr>
          <w:rFonts w:ascii="宋体" w:hAnsi="宋体"/>
          <w:b/>
          <w:sz w:val="24"/>
          <w:szCs w:val="24"/>
          <w:highlight w:val="none"/>
        </w:rPr>
        <w:t>委员会</w:t>
      </w:r>
      <w:r>
        <w:rPr>
          <w:rFonts w:hint="eastAsia" w:ascii="宋体" w:hAnsi="宋体"/>
          <w:b/>
          <w:sz w:val="24"/>
          <w:szCs w:val="24"/>
          <w:highlight w:val="none"/>
        </w:rPr>
        <w:t xml:space="preserve">（签名）：       </w:t>
      </w:r>
    </w:p>
    <w:p>
      <w:pPr>
        <w:widowControl/>
        <w:spacing w:line="360" w:lineRule="auto"/>
        <w:rPr>
          <w:rFonts w:hint="eastAsia" w:ascii="宋体" w:hAnsi="宋体"/>
          <w:sz w:val="24"/>
          <w:szCs w:val="24"/>
          <w:highlight w:val="none"/>
        </w:rPr>
      </w:pPr>
      <w:r>
        <w:rPr>
          <w:rFonts w:hint="eastAsia" w:ascii="宋体" w:hAnsi="宋体"/>
          <w:b/>
          <w:sz w:val="24"/>
          <w:szCs w:val="24"/>
          <w:highlight w:val="none"/>
        </w:rPr>
        <w:t>监督（签名）：                                                        日期：</w:t>
      </w:r>
      <w:r>
        <w:rPr>
          <w:rFonts w:hint="eastAsia" w:ascii="宋体" w:hAnsi="宋体"/>
          <w:sz w:val="24"/>
          <w:szCs w:val="24"/>
          <w:highlight w:val="none"/>
        </w:rPr>
        <w:t xml:space="preserve">     年    月    日</w:t>
      </w:r>
    </w:p>
    <w:p>
      <w:pPr>
        <w:spacing w:line="360" w:lineRule="auto"/>
        <w:jc w:val="left"/>
        <w:rPr>
          <w:rFonts w:hint="eastAsia" w:ascii="宋体" w:hAnsi="宋体"/>
          <w:b/>
          <w:snapToGrid w:val="0"/>
          <w:sz w:val="24"/>
          <w:szCs w:val="24"/>
          <w:highlight w:val="none"/>
        </w:rPr>
      </w:pPr>
    </w:p>
    <w:p>
      <w:pPr>
        <w:spacing w:line="360" w:lineRule="auto"/>
        <w:jc w:val="left"/>
        <w:rPr>
          <w:rFonts w:ascii="宋体" w:hAnsi="宋体"/>
          <w:b/>
          <w:bCs/>
          <w:snapToGrid w:val="0"/>
          <w:sz w:val="24"/>
          <w:szCs w:val="24"/>
          <w:highlight w:val="none"/>
        </w:rPr>
      </w:pPr>
      <w:r>
        <w:rPr>
          <w:rFonts w:hint="eastAsia" w:ascii="宋体" w:hAnsi="宋体"/>
          <w:b/>
          <w:snapToGrid w:val="0"/>
          <w:sz w:val="24"/>
          <w:szCs w:val="24"/>
          <w:highlight w:val="none"/>
        </w:rPr>
        <w:t>附表4：技术标详细评审表</w:t>
      </w:r>
    </w:p>
    <w:p>
      <w:pPr>
        <w:spacing w:line="360" w:lineRule="auto"/>
        <w:jc w:val="center"/>
        <w:rPr>
          <w:rFonts w:hint="eastAsia" w:ascii="宋体" w:hAnsi="宋体"/>
          <w:b/>
          <w:bCs/>
          <w:snapToGrid w:val="0"/>
          <w:sz w:val="24"/>
          <w:szCs w:val="24"/>
          <w:highlight w:val="none"/>
        </w:rPr>
      </w:pPr>
      <w:r>
        <w:rPr>
          <w:rFonts w:hint="eastAsia" w:ascii="宋体" w:hAnsi="宋体"/>
          <w:b/>
          <w:bCs/>
          <w:snapToGrid w:val="0"/>
          <w:sz w:val="24"/>
          <w:szCs w:val="24"/>
          <w:highlight w:val="none"/>
        </w:rPr>
        <w:t>技术标详细评审表（</w:t>
      </w:r>
      <w:r>
        <w:rPr>
          <w:rFonts w:ascii="宋体" w:hAnsi="宋体"/>
          <w:b/>
          <w:bCs/>
          <w:snapToGrid w:val="0"/>
          <w:sz w:val="24"/>
          <w:szCs w:val="24"/>
          <w:highlight w:val="none"/>
        </w:rPr>
        <w:t>50</w:t>
      </w:r>
      <w:r>
        <w:rPr>
          <w:rFonts w:hint="eastAsia" w:ascii="宋体" w:hAnsi="宋体"/>
          <w:b/>
          <w:bCs/>
          <w:snapToGrid w:val="0"/>
          <w:sz w:val="24"/>
          <w:szCs w:val="24"/>
          <w:highlight w:val="none"/>
        </w:rPr>
        <w:t>分）</w:t>
      </w:r>
    </w:p>
    <w:tbl>
      <w:tblPr>
        <w:tblStyle w:val="47"/>
        <w:tblpPr w:leftFromText="180" w:rightFromText="180" w:vertAnchor="text" w:horzAnchor="page" w:tblpX="826" w:tblpY="525"/>
        <w:tblOverlap w:val="never"/>
        <w:tblW w:w="14878" w:type="dxa"/>
        <w:tblInd w:w="0"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Layout w:type="fixed"/>
        <w:tblCellMar>
          <w:top w:w="0" w:type="dxa"/>
          <w:left w:w="0" w:type="dxa"/>
          <w:bottom w:w="0" w:type="dxa"/>
          <w:right w:w="0" w:type="dxa"/>
        </w:tblCellMar>
      </w:tblPr>
      <w:tblGrid>
        <w:gridCol w:w="705"/>
        <w:gridCol w:w="1202"/>
        <w:gridCol w:w="6414"/>
        <w:gridCol w:w="1331"/>
        <w:gridCol w:w="900"/>
        <w:gridCol w:w="989"/>
        <w:gridCol w:w="989"/>
        <w:gridCol w:w="1130"/>
        <w:gridCol w:w="1218"/>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507" w:hRule="atLeast"/>
          <w:tblHeader/>
        </w:trPr>
        <w:tc>
          <w:tcPr>
            <w:tcW w:w="705" w:type="dxa"/>
            <w:vMerge w:val="restart"/>
            <w:tcBorders>
              <w:top w:val="single" w:color="000000" w:sz="4" w:space="0"/>
              <w:left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b/>
                <w:bCs/>
                <w:sz w:val="18"/>
                <w:szCs w:val="18"/>
                <w:highlight w:val="none"/>
                <w:lang w:val="zh-TW" w:eastAsia="zh-TW"/>
              </w:rPr>
              <w:t>编号</w:t>
            </w:r>
          </w:p>
        </w:tc>
        <w:tc>
          <w:tcPr>
            <w:tcW w:w="1202" w:type="dxa"/>
            <w:vMerge w:val="restart"/>
            <w:tcBorders>
              <w:top w:val="single" w:color="000000" w:sz="4" w:space="0"/>
              <w:left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b/>
                <w:bCs/>
                <w:sz w:val="18"/>
                <w:szCs w:val="18"/>
                <w:highlight w:val="none"/>
                <w:lang w:val="zh-TW" w:eastAsia="zh-TW"/>
              </w:rPr>
              <w:t>比选项目</w:t>
            </w:r>
          </w:p>
        </w:tc>
        <w:tc>
          <w:tcPr>
            <w:tcW w:w="6414" w:type="dxa"/>
            <w:vMerge w:val="restart"/>
            <w:tcBorders>
              <w:top w:val="single" w:color="000000" w:sz="4" w:space="0"/>
              <w:left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b/>
                <w:bCs/>
                <w:sz w:val="18"/>
                <w:szCs w:val="18"/>
                <w:highlight w:val="none"/>
                <w:lang w:val="zh-TW" w:eastAsia="zh-TW"/>
              </w:rPr>
              <w:t>评分标准</w:t>
            </w:r>
          </w:p>
        </w:tc>
        <w:tc>
          <w:tcPr>
            <w:tcW w:w="1331" w:type="dxa"/>
            <w:vMerge w:val="restart"/>
            <w:tcBorders>
              <w:top w:val="single" w:color="auto" w:sz="4" w:space="0"/>
              <w:left w:val="single" w:color="000000" w:sz="4" w:space="0"/>
              <w:right w:val="single" w:color="auto" w:sz="4" w:space="0"/>
            </w:tcBorders>
            <w:shd w:val="clear" w:color="auto" w:fill="auto"/>
            <w:noWrap w:val="0"/>
            <w:vAlign w:val="top"/>
          </w:tcPr>
          <w:p>
            <w:pPr>
              <w:spacing w:line="240" w:lineRule="exact"/>
              <w:jc w:val="center"/>
              <w:rPr>
                <w:rFonts w:ascii="宋体" w:hAnsi="宋体" w:cs="宋体"/>
                <w:sz w:val="18"/>
                <w:szCs w:val="18"/>
                <w:highlight w:val="none"/>
              </w:rPr>
            </w:pPr>
            <w:r>
              <w:rPr>
                <w:rFonts w:hint="eastAsia" w:ascii="宋体" w:hAnsi="宋体" w:cs="宋体"/>
                <w:b/>
                <w:bCs/>
                <w:sz w:val="18"/>
                <w:szCs w:val="18"/>
                <w:highlight w:val="none"/>
                <w:lang w:val="zh-TW" w:eastAsia="zh-TW"/>
              </w:rPr>
              <w:t>满分值</w:t>
            </w:r>
          </w:p>
        </w:tc>
        <w:tc>
          <w:tcPr>
            <w:tcW w:w="5226" w:type="dxa"/>
            <w:gridSpan w:val="5"/>
            <w:tcBorders>
              <w:top w:val="single" w:color="auto" w:sz="4" w:space="0"/>
              <w:left w:val="single" w:color="000000" w:sz="4" w:space="0"/>
              <w:bottom w:val="single" w:color="auto" w:sz="4" w:space="0"/>
              <w:right w:val="single" w:color="auto" w:sz="4" w:space="0"/>
            </w:tcBorders>
            <w:shd w:val="clear" w:color="auto" w:fill="auto"/>
            <w:noWrap w:val="0"/>
            <w:vAlign w:val="top"/>
          </w:tcPr>
          <w:p>
            <w:pPr>
              <w:spacing w:line="240" w:lineRule="exact"/>
              <w:jc w:val="center"/>
              <w:rPr>
                <w:rFonts w:hint="eastAsia" w:ascii="宋体" w:hAnsi="宋体" w:cs="宋体"/>
                <w:b/>
                <w:bCs/>
                <w:sz w:val="18"/>
                <w:szCs w:val="18"/>
                <w:highlight w:val="none"/>
                <w:lang w:val="zh-TW"/>
              </w:rPr>
            </w:pPr>
            <w:r>
              <w:rPr>
                <w:rFonts w:hint="eastAsia" w:ascii="宋体" w:hAnsi="宋体" w:cs="宋体"/>
                <w:b/>
                <w:bCs/>
                <w:sz w:val="18"/>
                <w:szCs w:val="18"/>
                <w:highlight w:val="none"/>
                <w:lang w:val="zh-TW"/>
              </w:rPr>
              <w:t>参选人名称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69" w:hRule="atLeast"/>
          <w:tblHeader/>
        </w:trPr>
        <w:tc>
          <w:tcPr>
            <w:tcW w:w="705" w:type="dxa"/>
            <w:vMerge w:val="continue"/>
            <w:tcBorders>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sz w:val="18"/>
                <w:szCs w:val="18"/>
                <w:highlight w:val="none"/>
              </w:rPr>
            </w:pPr>
          </w:p>
        </w:tc>
        <w:tc>
          <w:tcPr>
            <w:tcW w:w="1202" w:type="dxa"/>
            <w:vMerge w:val="continue"/>
            <w:tcBorders>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sz w:val="18"/>
                <w:szCs w:val="18"/>
                <w:highlight w:val="none"/>
              </w:rPr>
            </w:pPr>
          </w:p>
        </w:tc>
        <w:tc>
          <w:tcPr>
            <w:tcW w:w="6414" w:type="dxa"/>
            <w:vMerge w:val="continue"/>
            <w:tcBorders>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sz w:val="18"/>
                <w:szCs w:val="18"/>
                <w:highlight w:val="none"/>
              </w:rPr>
            </w:pPr>
          </w:p>
        </w:tc>
        <w:tc>
          <w:tcPr>
            <w:tcW w:w="1331" w:type="dxa"/>
            <w:vMerge w:val="continue"/>
            <w:tcBorders>
              <w:left w:val="single" w:color="000000" w:sz="4" w:space="0"/>
              <w:bottom w:val="single" w:color="auto" w:sz="4" w:space="0"/>
              <w:right w:val="single" w:color="auto" w:sz="4" w:space="0"/>
            </w:tcBorders>
            <w:shd w:val="clear" w:color="auto" w:fill="auto"/>
            <w:noWrap w:val="0"/>
            <w:vAlign w:val="top"/>
          </w:tcPr>
          <w:p>
            <w:pPr>
              <w:spacing w:line="240" w:lineRule="exact"/>
              <w:jc w:val="center"/>
              <w:rPr>
                <w:sz w:val="18"/>
                <w:szCs w:val="18"/>
                <w:highlight w:val="none"/>
              </w:rPr>
            </w:pPr>
          </w:p>
        </w:tc>
        <w:tc>
          <w:tcPr>
            <w:tcW w:w="90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spacing w:line="240" w:lineRule="exact"/>
              <w:jc w:val="center"/>
              <w:rPr>
                <w:rFonts w:hint="eastAsia" w:ascii="宋体" w:hAnsi="宋体" w:cs="宋体"/>
                <w:b/>
                <w:bCs/>
                <w:sz w:val="18"/>
                <w:szCs w:val="18"/>
                <w:highlight w:val="none"/>
                <w:lang w:val="zh-TW" w:eastAsia="zh-TW"/>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spacing w:line="240" w:lineRule="exact"/>
              <w:jc w:val="center"/>
              <w:rPr>
                <w:rFonts w:hint="eastAsia" w:ascii="宋体" w:hAnsi="宋体" w:cs="宋体"/>
                <w:b/>
                <w:bCs/>
                <w:sz w:val="18"/>
                <w:szCs w:val="18"/>
                <w:highlight w:val="none"/>
                <w:lang w:val="zh-TW" w:eastAsia="zh-TW"/>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spacing w:line="240" w:lineRule="exact"/>
              <w:jc w:val="center"/>
              <w:rPr>
                <w:rFonts w:hint="eastAsia" w:ascii="宋体" w:hAnsi="宋体" w:cs="宋体"/>
                <w:b/>
                <w:bCs/>
                <w:sz w:val="18"/>
                <w:szCs w:val="18"/>
                <w:highlight w:val="none"/>
                <w:lang w:val="zh-TW" w:eastAsia="zh-TW"/>
              </w:rPr>
            </w:pPr>
          </w:p>
        </w:tc>
        <w:tc>
          <w:tcPr>
            <w:tcW w:w="113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spacing w:line="240" w:lineRule="exact"/>
              <w:jc w:val="center"/>
              <w:rPr>
                <w:rFonts w:hint="eastAsia" w:ascii="宋体" w:hAnsi="宋体" w:cs="宋体"/>
                <w:b/>
                <w:bCs/>
                <w:sz w:val="18"/>
                <w:szCs w:val="18"/>
                <w:highlight w:val="none"/>
                <w:lang w:val="zh-TW" w:eastAsia="zh-TW"/>
              </w:rPr>
            </w:pPr>
          </w:p>
        </w:tc>
        <w:tc>
          <w:tcPr>
            <w:tcW w:w="1218"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spacing w:line="240" w:lineRule="exact"/>
              <w:jc w:val="center"/>
              <w:rPr>
                <w:rFonts w:hint="eastAsia" w:ascii="宋体" w:hAnsi="宋体" w:cs="宋体"/>
                <w:b/>
                <w:bCs/>
                <w:sz w:val="18"/>
                <w:szCs w:val="18"/>
                <w:highlight w:val="none"/>
                <w:lang w:val="zh-TW" w:eastAsia="zh-TW"/>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175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1</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60" w:lineRule="exact"/>
              <w:jc w:val="center"/>
              <w:rPr>
                <w:rFonts w:ascii="宋体" w:hAnsi="宋体" w:cs="宋体"/>
                <w:sz w:val="18"/>
                <w:szCs w:val="18"/>
                <w:highlight w:val="none"/>
                <w:lang w:val="zh-TW" w:eastAsia="zh-TW"/>
              </w:rPr>
            </w:pPr>
          </w:p>
          <w:p>
            <w:pPr>
              <w:spacing w:line="260" w:lineRule="exact"/>
              <w:jc w:val="center"/>
              <w:rPr>
                <w:rFonts w:ascii="宋体" w:hAnsi="宋体" w:cs="宋体"/>
                <w:sz w:val="18"/>
                <w:szCs w:val="18"/>
                <w:highlight w:val="none"/>
                <w:lang w:val="zh-TW" w:eastAsia="zh-TW"/>
              </w:rPr>
            </w:pPr>
            <w:r>
              <w:rPr>
                <w:rFonts w:hint="eastAsia" w:ascii="宋体" w:hAnsi="宋体"/>
                <w:color w:val="000000"/>
                <w:sz w:val="18"/>
                <w:szCs w:val="18"/>
                <w:highlight w:val="none"/>
              </w:rPr>
              <w:t>展示中心开放活动方案</w:t>
            </w:r>
          </w:p>
        </w:tc>
        <w:tc>
          <w:tcPr>
            <w:tcW w:w="641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widowControl/>
              <w:adjustRightInd w:val="0"/>
              <w:snapToGrid w:val="0"/>
              <w:spacing w:line="360" w:lineRule="auto"/>
              <w:jc w:val="center"/>
              <w:rPr>
                <w:rFonts w:hint="eastAsia" w:ascii="宋体" w:hAnsi="宋体" w:eastAsia="宋体" w:cs="宋体"/>
                <w:kern w:val="2"/>
                <w:sz w:val="18"/>
                <w:szCs w:val="18"/>
                <w:highlight w:val="none"/>
                <w:lang w:val="zh-TW" w:eastAsia="zh-TW" w:bidi="ar-SA"/>
              </w:rPr>
            </w:pPr>
            <w:r>
              <w:rPr>
                <w:rFonts w:hint="eastAsia" w:ascii="宋体" w:hAnsi="宋体" w:eastAsia="宋体" w:cs="宋体"/>
                <w:kern w:val="2"/>
                <w:sz w:val="18"/>
                <w:szCs w:val="18"/>
                <w:highlight w:val="none"/>
                <w:lang w:val="zh-TW" w:eastAsia="zh-TW" w:bidi="ar-SA"/>
              </w:rPr>
              <w:t>（1）活动方案及活动流程符合项目形象需求与品质需求；横向比较（满分10分，优秀8-10分，良好6-7分，中等4-5分，较差≤3分）</w:t>
            </w:r>
          </w:p>
          <w:p>
            <w:pPr>
              <w:widowControl/>
              <w:adjustRightInd w:val="0"/>
              <w:snapToGrid w:val="0"/>
              <w:spacing w:line="360" w:lineRule="auto"/>
              <w:jc w:val="center"/>
              <w:rPr>
                <w:rFonts w:hint="eastAsia" w:ascii="宋体" w:hAnsi="宋体" w:eastAsia="宋体" w:cs="宋体"/>
                <w:kern w:val="2"/>
                <w:sz w:val="18"/>
                <w:szCs w:val="18"/>
                <w:highlight w:val="none"/>
                <w:lang w:val="zh-TW" w:eastAsia="zh-TW" w:bidi="ar-SA"/>
              </w:rPr>
            </w:pPr>
            <w:r>
              <w:rPr>
                <w:rFonts w:hint="eastAsia" w:ascii="宋体" w:hAnsi="宋体" w:eastAsia="宋体" w:cs="宋体"/>
                <w:kern w:val="2"/>
                <w:sz w:val="18"/>
                <w:szCs w:val="18"/>
                <w:highlight w:val="none"/>
                <w:lang w:val="zh-TW" w:eastAsia="zh-TW" w:bidi="ar-SA"/>
              </w:rPr>
              <w:t>（2）活动方案创新有亮点，具备一定特色，让来宾感受到项目的心意和品质，横向比较（满分10分，优秀8-10分，良好6-7分，中等4-5分，较差≤3分）</w:t>
            </w:r>
          </w:p>
          <w:p>
            <w:pPr>
              <w:pStyle w:val="194"/>
              <w:numPr>
                <w:ilvl w:val="0"/>
                <w:numId w:val="0"/>
              </w:numPr>
              <w:tabs>
                <w:tab w:val="left" w:pos="0"/>
              </w:tabs>
              <w:spacing w:line="260" w:lineRule="exact"/>
              <w:ind w:leftChars="0"/>
              <w:jc w:val="center"/>
              <w:rPr>
                <w:rFonts w:ascii="宋体" w:hAnsi="宋体" w:cs="宋体"/>
                <w:sz w:val="18"/>
                <w:szCs w:val="18"/>
                <w:highlight w:val="none"/>
                <w:lang w:val="zh-TW" w:eastAsia="zh-TW"/>
              </w:rPr>
            </w:pPr>
            <w:r>
              <w:rPr>
                <w:rFonts w:hint="eastAsia" w:ascii="宋体" w:hAnsi="宋体" w:eastAsia="宋体" w:cs="宋体"/>
                <w:kern w:val="2"/>
                <w:sz w:val="18"/>
                <w:szCs w:val="18"/>
                <w:highlight w:val="none"/>
                <w:lang w:val="zh-TW" w:eastAsia="zh-TW" w:bidi="ar-SA"/>
              </w:rPr>
              <w:t>（3）宣传推广（自媒体大V）建议，符合项目客户定位，有利于树立项目口碑，性价比高等，横向比较（满分5分，优秀4-5分，良好2-3分，较差≤2分</w:t>
            </w:r>
          </w:p>
        </w:tc>
        <w:tc>
          <w:tcPr>
            <w:tcW w:w="1331"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ascii="宋体" w:hAnsi="宋体" w:cs="宋体"/>
                <w:sz w:val="18"/>
                <w:szCs w:val="18"/>
                <w:highlight w:val="none"/>
                <w:lang w:val="zh-TW" w:eastAsia="zh-TW"/>
              </w:rPr>
            </w:pPr>
          </w:p>
          <w:p>
            <w:pPr>
              <w:widowControl/>
              <w:spacing w:line="240" w:lineRule="exact"/>
              <w:jc w:val="center"/>
              <w:rPr>
                <w:rFonts w:ascii="宋体" w:hAnsi="宋体" w:cs="宋体"/>
                <w:sz w:val="18"/>
                <w:szCs w:val="18"/>
                <w:highlight w:val="none"/>
                <w:lang w:val="zh-TW" w:eastAsia="zh-TW"/>
              </w:rPr>
            </w:pPr>
          </w:p>
          <w:p>
            <w:pPr>
              <w:widowControl/>
              <w:spacing w:line="240" w:lineRule="exact"/>
              <w:jc w:val="center"/>
              <w:rPr>
                <w:rFonts w:ascii="宋体" w:hAnsi="宋体" w:cs="宋体"/>
                <w:sz w:val="18"/>
                <w:szCs w:val="18"/>
                <w:highlight w:val="none"/>
                <w:lang w:val="zh-TW" w:eastAsia="zh-TW"/>
              </w:rPr>
            </w:pPr>
            <w:r>
              <w:rPr>
                <w:rFonts w:hint="eastAsia" w:ascii="宋体" w:hAnsi="宋体" w:cs="宋体"/>
                <w:sz w:val="18"/>
                <w:szCs w:val="18"/>
                <w:highlight w:val="none"/>
                <w:lang w:val="en-US" w:eastAsia="zh-CN"/>
              </w:rPr>
              <w:t>2</w:t>
            </w:r>
            <w:r>
              <w:rPr>
                <w:rFonts w:hint="eastAsia" w:ascii="宋体" w:hAnsi="宋体" w:cs="宋体"/>
                <w:sz w:val="18"/>
                <w:szCs w:val="18"/>
                <w:highlight w:val="none"/>
              </w:rPr>
              <w:t>5</w:t>
            </w:r>
            <w:r>
              <w:rPr>
                <w:rFonts w:hint="eastAsia" w:ascii="宋体" w:hAnsi="宋体" w:cs="宋体"/>
                <w:sz w:val="18"/>
                <w:szCs w:val="18"/>
                <w:highlight w:val="none"/>
                <w:lang w:val="zh-TW" w:eastAsia="zh-TW"/>
              </w:rPr>
              <w:t>分</w:t>
            </w:r>
          </w:p>
        </w:tc>
        <w:tc>
          <w:tcPr>
            <w:tcW w:w="90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13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218"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86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2</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60" w:lineRule="exact"/>
              <w:jc w:val="center"/>
              <w:rPr>
                <w:rFonts w:ascii="宋体" w:hAnsi="宋体" w:cs="宋体"/>
                <w:sz w:val="18"/>
                <w:szCs w:val="18"/>
                <w:highlight w:val="none"/>
                <w:lang w:val="zh-TW"/>
              </w:rPr>
            </w:pPr>
          </w:p>
          <w:p>
            <w:pPr>
              <w:spacing w:line="260" w:lineRule="exact"/>
              <w:jc w:val="center"/>
              <w:rPr>
                <w:rFonts w:ascii="宋体" w:hAnsi="宋体" w:cs="宋体"/>
                <w:sz w:val="18"/>
                <w:szCs w:val="18"/>
                <w:highlight w:val="none"/>
                <w:lang w:val="zh-TW" w:eastAsia="zh-TW"/>
              </w:rPr>
            </w:pPr>
            <w:r>
              <w:rPr>
                <w:rFonts w:hint="eastAsia" w:ascii="宋体" w:hAnsi="宋体"/>
                <w:color w:val="000000"/>
                <w:sz w:val="18"/>
                <w:szCs w:val="18"/>
                <w:highlight w:val="none"/>
              </w:rPr>
              <w:t>暖场活动方案</w:t>
            </w:r>
          </w:p>
        </w:tc>
        <w:tc>
          <w:tcPr>
            <w:tcW w:w="641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pStyle w:val="194"/>
              <w:numPr>
                <w:ilvl w:val="0"/>
                <w:numId w:val="0"/>
              </w:numPr>
              <w:tabs>
                <w:tab w:val="left" w:pos="0"/>
              </w:tabs>
              <w:spacing w:line="260" w:lineRule="exact"/>
              <w:ind w:leftChars="0"/>
              <w:jc w:val="center"/>
              <w:rPr>
                <w:rFonts w:ascii="宋体" w:hAnsi="宋体" w:cs="宋体"/>
                <w:sz w:val="18"/>
                <w:szCs w:val="18"/>
                <w:highlight w:val="none"/>
                <w:lang w:val="zh-TW" w:eastAsia="zh-TW"/>
              </w:rPr>
            </w:pPr>
            <w:r>
              <w:rPr>
                <w:rFonts w:hint="eastAsia" w:ascii="宋体" w:hAnsi="宋体"/>
                <w:color w:val="000000"/>
                <w:sz w:val="18"/>
                <w:szCs w:val="18"/>
                <w:highlight w:val="none"/>
              </w:rPr>
              <w:t>暖场活动设置互动性强、参与度高，可符合来宾喜好</w:t>
            </w:r>
            <w:r>
              <w:rPr>
                <w:rFonts w:ascii="宋体" w:hAnsi="宋体"/>
                <w:color w:val="000000"/>
                <w:sz w:val="18"/>
                <w:szCs w:val="18"/>
                <w:highlight w:val="none"/>
              </w:rPr>
              <w:t>，</w:t>
            </w:r>
            <w:r>
              <w:rPr>
                <w:rFonts w:hint="eastAsia" w:ascii="宋体" w:hAnsi="宋体"/>
                <w:color w:val="000000"/>
                <w:sz w:val="18"/>
                <w:szCs w:val="18"/>
                <w:highlight w:val="none"/>
              </w:rPr>
              <w:t>利于树立项目口碑，方案亮点、性价比等（满分10分，优秀8-10分，良好6-7分，中等4-5分，较差≤3分横向比较）</w:t>
            </w:r>
            <w:r>
              <w:rPr>
                <w:rFonts w:hint="eastAsia" w:ascii="宋体" w:hAnsi="宋体" w:cs="宋体"/>
                <w:sz w:val="18"/>
                <w:szCs w:val="18"/>
                <w:highlight w:val="none"/>
                <w:lang w:val="zh-TW" w:eastAsia="zh-TW"/>
              </w:rPr>
              <w:t>。</w:t>
            </w:r>
          </w:p>
        </w:tc>
        <w:tc>
          <w:tcPr>
            <w:tcW w:w="1331"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ascii="宋体" w:hAnsi="宋体" w:cs="宋体"/>
                <w:sz w:val="18"/>
                <w:szCs w:val="18"/>
                <w:highlight w:val="none"/>
              </w:rPr>
            </w:pPr>
          </w:p>
          <w:p>
            <w:pPr>
              <w:widowControl/>
              <w:spacing w:line="240" w:lineRule="exact"/>
              <w:jc w:val="center"/>
              <w:rPr>
                <w:rFonts w:ascii="宋体" w:hAnsi="宋体" w:cs="宋体"/>
                <w:sz w:val="18"/>
                <w:szCs w:val="18"/>
                <w:highlight w:val="none"/>
              </w:rPr>
            </w:pPr>
            <w:r>
              <w:rPr>
                <w:rFonts w:hint="eastAsia" w:ascii="宋体" w:hAnsi="宋体" w:cs="宋体"/>
                <w:sz w:val="18"/>
                <w:szCs w:val="18"/>
                <w:highlight w:val="none"/>
              </w:rPr>
              <w:t>10</w:t>
            </w:r>
            <w:r>
              <w:rPr>
                <w:rFonts w:hint="eastAsia" w:ascii="宋体" w:hAnsi="宋体" w:cs="宋体"/>
                <w:sz w:val="18"/>
                <w:szCs w:val="18"/>
                <w:highlight w:val="none"/>
                <w:lang w:val="zh-TW" w:eastAsia="zh-TW"/>
              </w:rPr>
              <w:t>分</w:t>
            </w:r>
          </w:p>
        </w:tc>
        <w:tc>
          <w:tcPr>
            <w:tcW w:w="90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13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218"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86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3</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60" w:lineRule="exact"/>
              <w:jc w:val="center"/>
              <w:rPr>
                <w:rFonts w:ascii="宋体" w:hAnsi="宋体" w:cs="宋体"/>
                <w:sz w:val="18"/>
                <w:szCs w:val="18"/>
                <w:highlight w:val="none"/>
                <w:lang w:val="zh-TW" w:eastAsia="zh-TW"/>
              </w:rPr>
            </w:pPr>
          </w:p>
          <w:p>
            <w:pPr>
              <w:spacing w:line="260" w:lineRule="exact"/>
              <w:jc w:val="center"/>
              <w:rPr>
                <w:rFonts w:ascii="宋体" w:hAnsi="宋体" w:cs="宋体"/>
                <w:sz w:val="18"/>
                <w:szCs w:val="18"/>
                <w:highlight w:val="none"/>
                <w:lang w:eastAsia="zh-TW"/>
              </w:rPr>
            </w:pPr>
            <w:r>
              <w:rPr>
                <w:rFonts w:hint="eastAsia" w:ascii="宋体" w:hAnsi="宋体"/>
                <w:color w:val="000000"/>
                <w:sz w:val="18"/>
                <w:szCs w:val="18"/>
                <w:highlight w:val="none"/>
              </w:rPr>
              <w:t>现场包装方案</w:t>
            </w:r>
          </w:p>
        </w:tc>
        <w:tc>
          <w:tcPr>
            <w:tcW w:w="641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tabs>
                <w:tab w:val="left" w:pos="487"/>
              </w:tabs>
              <w:spacing w:line="260" w:lineRule="exact"/>
              <w:jc w:val="center"/>
              <w:rPr>
                <w:rFonts w:ascii="宋体" w:hAnsi="宋体" w:cs="宋体"/>
                <w:sz w:val="18"/>
                <w:szCs w:val="18"/>
                <w:highlight w:val="none"/>
                <w:lang w:val="zh-TW" w:eastAsia="zh-TW"/>
              </w:rPr>
            </w:pPr>
            <w:r>
              <w:rPr>
                <w:rFonts w:hint="eastAsia" w:ascii="宋体" w:hAnsi="宋体"/>
                <w:color w:val="000000"/>
                <w:sz w:val="18"/>
                <w:szCs w:val="18"/>
                <w:highlight w:val="none"/>
              </w:rPr>
              <w:t>现场物料设计符合甲方要求，设计美观，可体现项目品质（（满分10分，优秀8-10分，良好6-7分，中等4-5分，较差≤3分）横向比较）</w:t>
            </w:r>
          </w:p>
        </w:tc>
        <w:tc>
          <w:tcPr>
            <w:tcW w:w="1331"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ascii="宋体" w:hAnsi="宋体" w:cs="宋体"/>
                <w:sz w:val="18"/>
                <w:szCs w:val="18"/>
                <w:highlight w:val="none"/>
                <w:lang w:val="zh-TW" w:eastAsia="zh-TW"/>
              </w:rPr>
            </w:pPr>
          </w:p>
          <w:p>
            <w:pPr>
              <w:widowControl/>
              <w:spacing w:line="240" w:lineRule="exact"/>
              <w:jc w:val="center"/>
              <w:rPr>
                <w:rFonts w:ascii="宋体" w:hAnsi="宋体" w:cs="宋体"/>
                <w:sz w:val="18"/>
                <w:szCs w:val="18"/>
                <w:highlight w:val="none"/>
                <w:lang w:val="zh-TW" w:eastAsia="zh-TW"/>
              </w:rPr>
            </w:pPr>
            <w:r>
              <w:rPr>
                <w:rFonts w:hint="eastAsia" w:ascii="宋体" w:hAnsi="宋体" w:cs="宋体"/>
                <w:sz w:val="18"/>
                <w:szCs w:val="18"/>
                <w:highlight w:val="none"/>
                <w:lang w:val="en-US" w:eastAsia="zh-CN"/>
              </w:rPr>
              <w:t>10分</w:t>
            </w:r>
          </w:p>
        </w:tc>
        <w:tc>
          <w:tcPr>
            <w:tcW w:w="90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13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218"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widowControl/>
              <w:adjustRightInd w:val="0"/>
              <w:snapToGrid w:val="0"/>
              <w:spacing w:line="360" w:lineRule="auto"/>
              <w:jc w:val="center"/>
              <w:rPr>
                <w:rFonts w:hint="eastAsia" w:ascii="宋体" w:hAnsi="宋体"/>
                <w:color w:val="000000"/>
                <w:kern w:val="2"/>
                <w:sz w:val="21"/>
                <w:szCs w:val="21"/>
                <w:highlight w:val="none"/>
                <w:lang w:val="en-US" w:eastAsia="zh-CN" w:bidi="ar-SA"/>
              </w:rPr>
            </w:pPr>
            <w:r>
              <w:rPr>
                <w:rFonts w:hint="eastAsia" w:ascii="宋体" w:hAnsi="宋体"/>
                <w:color w:val="000000"/>
                <w:szCs w:val="21"/>
                <w:highlight w:val="none"/>
              </w:rPr>
              <w:t>4</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adjustRightInd w:val="0"/>
              <w:snapToGrid w:val="0"/>
              <w:spacing w:line="360" w:lineRule="auto"/>
              <w:jc w:val="center"/>
              <w:textAlignment w:val="baseline"/>
              <w:rPr>
                <w:rFonts w:hint="eastAsia" w:ascii="宋体" w:hAnsi="宋体"/>
                <w:color w:val="000000"/>
                <w:kern w:val="2"/>
                <w:sz w:val="21"/>
                <w:szCs w:val="21"/>
                <w:highlight w:val="none"/>
                <w:lang w:val="en-US" w:eastAsia="zh-CN" w:bidi="ar-SA"/>
              </w:rPr>
            </w:pPr>
            <w:r>
              <w:rPr>
                <w:rFonts w:hint="eastAsia" w:ascii="宋体" w:hAnsi="宋体"/>
                <w:color w:val="000000"/>
                <w:szCs w:val="21"/>
                <w:highlight w:val="none"/>
              </w:rPr>
              <w:t>陈述答辩</w:t>
            </w:r>
          </w:p>
        </w:tc>
        <w:tc>
          <w:tcPr>
            <w:tcW w:w="6414" w:type="dxa"/>
            <w:tcBorders>
              <w:top w:val="single" w:color="000000" w:sz="4" w:space="0"/>
              <w:left w:val="single" w:color="000000" w:sz="4" w:space="0"/>
              <w:bottom w:val="single" w:color="auto" w:sz="4" w:space="0"/>
              <w:right w:val="single" w:color="000000" w:sz="4" w:space="0"/>
            </w:tcBorders>
            <w:shd w:val="clear" w:color="auto" w:fill="auto"/>
            <w:noWrap w:val="0"/>
            <w:tcMar>
              <w:top w:w="80" w:type="dxa"/>
              <w:left w:w="80" w:type="dxa"/>
              <w:bottom w:w="80" w:type="dxa"/>
              <w:right w:w="80" w:type="dxa"/>
            </w:tcMar>
            <w:vAlign w:val="center"/>
          </w:tcPr>
          <w:p>
            <w:pPr>
              <w:adjustRightInd w:val="0"/>
              <w:snapToGrid w:val="0"/>
              <w:spacing w:line="360" w:lineRule="auto"/>
              <w:jc w:val="center"/>
              <w:textAlignment w:val="baseline"/>
              <w:rPr>
                <w:rFonts w:hint="eastAsia" w:ascii="宋体" w:hAnsi="宋体"/>
                <w:color w:val="000000"/>
                <w:kern w:val="2"/>
                <w:sz w:val="21"/>
                <w:szCs w:val="21"/>
                <w:highlight w:val="none"/>
                <w:lang w:val="en-US" w:eastAsia="zh-CN" w:bidi="ar-SA"/>
              </w:rPr>
            </w:pPr>
            <w:r>
              <w:rPr>
                <w:rFonts w:hint="eastAsia" w:ascii="宋体" w:hAnsi="宋体"/>
                <w:color w:val="000000"/>
                <w:szCs w:val="21"/>
                <w:highlight w:val="none"/>
              </w:rPr>
              <w:t>回答问题思路清晰、逻辑性强、能充分体现自身的组织能力、管理水平和丰富经验，横向比较（满分</w:t>
            </w:r>
            <w:r>
              <w:rPr>
                <w:rFonts w:ascii="宋体" w:hAnsi="宋体"/>
                <w:color w:val="000000"/>
                <w:szCs w:val="21"/>
                <w:highlight w:val="none"/>
              </w:rPr>
              <w:t>5</w:t>
            </w:r>
            <w:r>
              <w:rPr>
                <w:rFonts w:hint="eastAsia" w:ascii="宋体" w:hAnsi="宋体"/>
                <w:color w:val="000000"/>
                <w:szCs w:val="21"/>
                <w:highlight w:val="none"/>
              </w:rPr>
              <w:t>分）</w:t>
            </w:r>
          </w:p>
        </w:tc>
        <w:tc>
          <w:tcPr>
            <w:tcW w:w="1331" w:type="dxa"/>
            <w:tcBorders>
              <w:top w:val="single" w:color="auto" w:sz="4" w:space="0"/>
              <w:left w:val="single" w:color="000000" w:sz="4" w:space="0"/>
              <w:bottom w:val="single" w:color="auto" w:sz="4" w:space="0"/>
              <w:right w:val="single" w:color="auto" w:sz="4" w:space="0"/>
            </w:tcBorders>
            <w:shd w:val="clear" w:color="auto" w:fill="auto"/>
            <w:noWrap w:val="0"/>
            <w:vAlign w:val="center"/>
          </w:tcPr>
          <w:p>
            <w:pPr>
              <w:widowControl/>
              <w:adjustRightInd w:val="0"/>
              <w:snapToGrid w:val="0"/>
              <w:spacing w:line="360" w:lineRule="auto"/>
              <w:jc w:val="center"/>
              <w:rPr>
                <w:rFonts w:hint="eastAsia" w:ascii="宋体" w:hAnsi="宋体" w:eastAsia="宋体"/>
                <w:color w:val="000000"/>
                <w:kern w:val="2"/>
                <w:sz w:val="21"/>
                <w:szCs w:val="21"/>
                <w:highlight w:val="none"/>
                <w:lang w:val="en-US" w:eastAsia="zh-CN" w:bidi="ar-SA"/>
              </w:rPr>
            </w:pPr>
            <w:r>
              <w:rPr>
                <w:rFonts w:ascii="宋体" w:hAnsi="宋体"/>
                <w:color w:val="000000"/>
                <w:szCs w:val="21"/>
                <w:highlight w:val="none"/>
              </w:rPr>
              <w:t>5</w:t>
            </w:r>
            <w:r>
              <w:rPr>
                <w:rFonts w:hint="eastAsia" w:ascii="宋体" w:hAnsi="宋体"/>
                <w:color w:val="000000"/>
                <w:szCs w:val="21"/>
                <w:highlight w:val="none"/>
                <w:lang w:val="en-US" w:eastAsia="zh-CN"/>
              </w:rPr>
              <w:t>分</w:t>
            </w:r>
          </w:p>
        </w:tc>
        <w:tc>
          <w:tcPr>
            <w:tcW w:w="90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13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c>
          <w:tcPr>
            <w:tcW w:w="1218"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ind w:firstLine="180" w:firstLineChars="100"/>
              <w:jc w:val="center"/>
              <w:rPr>
                <w:rFonts w:hint="eastAsia" w:ascii="宋体" w:hAnsi="宋体" w:cs="宋体"/>
                <w:sz w:val="18"/>
                <w:szCs w:val="18"/>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D0DDEF"/>
          <w:tblCellMar>
            <w:top w:w="0" w:type="dxa"/>
            <w:left w:w="0" w:type="dxa"/>
            <w:bottom w:w="0" w:type="dxa"/>
            <w:right w:w="0" w:type="dxa"/>
          </w:tblCellMar>
        </w:tblPrEx>
        <w:trPr>
          <w:trHeight w:val="171" w:hRule="atLeast"/>
        </w:trPr>
        <w:tc>
          <w:tcPr>
            <w:tcW w:w="8321" w:type="dxa"/>
            <w:gridSpan w:val="3"/>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80" w:type="dxa"/>
              <w:bottom w:w="80" w:type="dxa"/>
              <w:right w:w="80" w:type="dxa"/>
            </w:tcMar>
            <w:vAlign w:val="center"/>
          </w:tcPr>
          <w:p>
            <w:pPr>
              <w:spacing w:line="240" w:lineRule="exact"/>
              <w:jc w:val="center"/>
              <w:rPr>
                <w:rFonts w:ascii="宋体" w:hAnsi="宋体" w:cs="宋体"/>
                <w:sz w:val="18"/>
                <w:szCs w:val="18"/>
                <w:highlight w:val="none"/>
              </w:rPr>
            </w:pPr>
            <w:r>
              <w:rPr>
                <w:rFonts w:hint="eastAsia" w:ascii="宋体" w:hAnsi="宋体" w:cs="宋体"/>
                <w:sz w:val="18"/>
                <w:szCs w:val="18"/>
                <w:highlight w:val="none"/>
              </w:rPr>
              <w:t>合计</w:t>
            </w:r>
          </w:p>
        </w:tc>
        <w:tc>
          <w:tcPr>
            <w:tcW w:w="1331"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ascii="宋体" w:hAnsi="宋体" w:cs="宋体"/>
                <w:sz w:val="18"/>
                <w:szCs w:val="18"/>
                <w:highlight w:val="none"/>
              </w:rPr>
            </w:pPr>
            <w:r>
              <w:rPr>
                <w:rFonts w:hint="eastAsia" w:ascii="宋体" w:hAnsi="宋体" w:cs="宋体"/>
                <w:sz w:val="18"/>
                <w:szCs w:val="18"/>
                <w:highlight w:val="none"/>
              </w:rPr>
              <w:t>50分</w:t>
            </w:r>
          </w:p>
        </w:tc>
        <w:tc>
          <w:tcPr>
            <w:tcW w:w="90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hint="eastAsia" w:ascii="宋体" w:hAnsi="宋体" w:cs="宋体"/>
                <w:sz w:val="18"/>
                <w:szCs w:val="18"/>
                <w:highlight w:val="none"/>
              </w:rPr>
            </w:pPr>
          </w:p>
        </w:tc>
        <w:tc>
          <w:tcPr>
            <w:tcW w:w="989"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hint="eastAsia" w:ascii="宋体" w:hAnsi="宋体" w:cs="宋体"/>
                <w:sz w:val="18"/>
                <w:szCs w:val="18"/>
                <w:highlight w:val="none"/>
              </w:rPr>
            </w:pPr>
          </w:p>
        </w:tc>
        <w:tc>
          <w:tcPr>
            <w:tcW w:w="1130"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hint="eastAsia" w:ascii="宋体" w:hAnsi="宋体" w:cs="宋体"/>
                <w:sz w:val="18"/>
                <w:szCs w:val="18"/>
                <w:highlight w:val="none"/>
              </w:rPr>
            </w:pPr>
          </w:p>
        </w:tc>
        <w:tc>
          <w:tcPr>
            <w:tcW w:w="1218" w:type="dxa"/>
            <w:tcBorders>
              <w:top w:val="single" w:color="auto" w:sz="4" w:space="0"/>
              <w:left w:val="single" w:color="000000" w:sz="4" w:space="0"/>
              <w:bottom w:val="single" w:color="auto" w:sz="4" w:space="0"/>
              <w:right w:val="single" w:color="auto" w:sz="4" w:space="0"/>
            </w:tcBorders>
            <w:shd w:val="clear" w:color="auto" w:fill="auto"/>
            <w:noWrap w:val="0"/>
            <w:vAlign w:val="top"/>
          </w:tcPr>
          <w:p>
            <w:pPr>
              <w:widowControl/>
              <w:spacing w:line="240" w:lineRule="exact"/>
              <w:jc w:val="center"/>
              <w:rPr>
                <w:rFonts w:hint="eastAsia" w:ascii="宋体" w:hAnsi="宋体" w:cs="宋体"/>
                <w:sz w:val="18"/>
                <w:szCs w:val="18"/>
                <w:highlight w:val="none"/>
              </w:rPr>
            </w:pPr>
          </w:p>
        </w:tc>
      </w:tr>
    </w:tbl>
    <w:p>
      <w:pPr>
        <w:spacing w:line="360" w:lineRule="auto"/>
        <w:jc w:val="left"/>
        <w:rPr>
          <w:rFonts w:ascii="宋体" w:hAnsi="宋体" w:cs="宋体"/>
          <w:b/>
          <w:sz w:val="18"/>
          <w:szCs w:val="18"/>
          <w:highlight w:val="none"/>
        </w:rPr>
      </w:pPr>
      <w:r>
        <w:rPr>
          <w:rFonts w:hint="eastAsia" w:ascii="宋体" w:hAnsi="宋体"/>
          <w:b/>
          <w:bCs/>
          <w:snapToGrid w:val="0"/>
          <w:sz w:val="24"/>
          <w:szCs w:val="24"/>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b/>
          <w:bCs/>
          <w:snapToGrid w:val="0"/>
          <w:sz w:val="24"/>
          <w:szCs w:val="24"/>
          <w:highlight w:val="none"/>
        </w:rPr>
        <w:t>服务</w:t>
      </w:r>
    </w:p>
    <w:p>
      <w:pPr>
        <w:tabs>
          <w:tab w:val="left" w:pos="0"/>
        </w:tabs>
        <w:snapToGrid w:val="0"/>
        <w:spacing w:line="360" w:lineRule="auto"/>
        <w:ind w:firstLine="361" w:firstLineChars="200"/>
        <w:rPr>
          <w:rFonts w:hint="eastAsia" w:ascii="宋体" w:hAnsi="宋体" w:cs="宋体"/>
          <w:b/>
          <w:sz w:val="18"/>
          <w:szCs w:val="18"/>
          <w:highlight w:val="none"/>
        </w:rPr>
      </w:pPr>
      <w:r>
        <w:rPr>
          <w:rFonts w:hint="eastAsia" w:ascii="宋体" w:hAnsi="宋体" w:cs="宋体"/>
          <w:b/>
          <w:sz w:val="18"/>
          <w:szCs w:val="18"/>
          <w:highlight w:val="none"/>
        </w:rPr>
        <w:t>评委（签名）：</w:t>
      </w:r>
    </w:p>
    <w:p>
      <w:pPr>
        <w:tabs>
          <w:tab w:val="left" w:pos="0"/>
        </w:tabs>
        <w:snapToGrid w:val="0"/>
        <w:spacing w:line="360" w:lineRule="auto"/>
        <w:ind w:firstLine="361" w:firstLineChars="200"/>
        <w:jc w:val="right"/>
        <w:rPr>
          <w:rFonts w:hint="eastAsia" w:ascii="宋体" w:hAnsi="宋体" w:cs="宋体"/>
          <w:sz w:val="18"/>
          <w:szCs w:val="18"/>
          <w:highlight w:val="none"/>
        </w:rPr>
      </w:pPr>
      <w:r>
        <w:rPr>
          <w:rFonts w:hint="eastAsia" w:ascii="宋体" w:hAnsi="宋体" w:cs="宋体"/>
          <w:b/>
          <w:sz w:val="18"/>
          <w:szCs w:val="18"/>
          <w:highlight w:val="none"/>
        </w:rPr>
        <w:t>日期：</w:t>
      </w:r>
      <w:r>
        <w:rPr>
          <w:rFonts w:hint="eastAsia" w:ascii="宋体" w:hAnsi="宋体" w:cs="宋体"/>
          <w:sz w:val="18"/>
          <w:szCs w:val="18"/>
          <w:highlight w:val="none"/>
        </w:rPr>
        <w:t xml:space="preserve">     年    月    日</w:t>
      </w:r>
    </w:p>
    <w:p>
      <w:pPr>
        <w:widowControl/>
        <w:spacing w:line="360" w:lineRule="auto"/>
        <w:rPr>
          <w:rFonts w:hint="eastAsia" w:ascii="宋体" w:hAnsi="宋体"/>
          <w:highlight w:val="none"/>
        </w:rPr>
        <w:sectPr>
          <w:headerReference r:id="rId7" w:type="default"/>
          <w:pgSz w:w="16840" w:h="11907" w:orient="landscape"/>
          <w:pgMar w:top="1440" w:right="1440" w:bottom="1134" w:left="1440" w:header="720" w:footer="890" w:gutter="0"/>
          <w:cols w:space="720" w:num="1"/>
          <w:docGrid w:linePitch="312" w:charSpace="0"/>
        </w:sectPr>
      </w:pPr>
    </w:p>
    <w:tbl>
      <w:tblPr>
        <w:tblStyle w:val="47"/>
        <w:tblW w:w="13713" w:type="dxa"/>
        <w:jc w:val="center"/>
        <w:tblLayout w:type="fixed"/>
        <w:tblCellMar>
          <w:top w:w="0" w:type="dxa"/>
          <w:left w:w="0" w:type="dxa"/>
          <w:bottom w:w="0" w:type="dxa"/>
          <w:right w:w="0" w:type="dxa"/>
        </w:tblCellMar>
      </w:tblPr>
      <w:tblGrid>
        <w:gridCol w:w="610"/>
        <w:gridCol w:w="884"/>
        <w:gridCol w:w="190"/>
        <w:gridCol w:w="5129"/>
        <w:gridCol w:w="977"/>
        <w:gridCol w:w="1466"/>
        <w:gridCol w:w="28"/>
        <w:gridCol w:w="1438"/>
        <w:gridCol w:w="1494"/>
        <w:gridCol w:w="1497"/>
      </w:tblGrid>
      <w:tr>
        <w:tblPrEx>
          <w:tblCellMar>
            <w:top w:w="0" w:type="dxa"/>
            <w:left w:w="0" w:type="dxa"/>
            <w:bottom w:w="0" w:type="dxa"/>
            <w:right w:w="0" w:type="dxa"/>
          </w:tblCellMar>
        </w:tblPrEx>
        <w:trPr>
          <w:trHeight w:val="836" w:hRule="atLeast"/>
          <w:jc w:val="center"/>
        </w:trPr>
        <w:tc>
          <w:tcPr>
            <w:tcW w:w="1494" w:type="dxa"/>
            <w:gridSpan w:val="2"/>
            <w:tcBorders>
              <w:top w:val="nil"/>
              <w:left w:val="nil"/>
              <w:bottom w:val="single" w:color="auto" w:sz="4" w:space="0"/>
              <w:right w:val="nil"/>
            </w:tcBorders>
            <w:noWrap w:val="0"/>
            <w:vAlign w:val="top"/>
          </w:tcPr>
          <w:p>
            <w:pPr>
              <w:spacing w:line="360" w:lineRule="auto"/>
              <w:rPr>
                <w:rFonts w:hint="eastAsia" w:ascii="宋体" w:hAnsi="宋体" w:cs="宋体"/>
                <w:b/>
                <w:szCs w:val="21"/>
                <w:highlight w:val="none"/>
              </w:rPr>
            </w:pPr>
          </w:p>
        </w:tc>
        <w:tc>
          <w:tcPr>
            <w:tcW w:w="12219" w:type="dxa"/>
            <w:gridSpan w:val="8"/>
            <w:tcBorders>
              <w:top w:val="nil"/>
              <w:left w:val="nil"/>
              <w:bottom w:val="single" w:color="auto" w:sz="4" w:space="0"/>
              <w:right w:val="nil"/>
            </w:tcBorders>
            <w:noWrap w:val="0"/>
            <w:vAlign w:val="top"/>
          </w:tcPr>
          <w:p>
            <w:pPr>
              <w:spacing w:line="360" w:lineRule="auto"/>
              <w:rPr>
                <w:rFonts w:hint="eastAsia" w:ascii="宋体" w:hAnsi="宋体" w:cs="宋体"/>
                <w:b/>
                <w:bCs/>
                <w:kern w:val="0"/>
                <w:szCs w:val="21"/>
                <w:highlight w:val="none"/>
              </w:rPr>
            </w:pPr>
            <w:bookmarkStart w:id="117" w:name="RANGE!A1:M11"/>
            <w:r>
              <w:rPr>
                <w:rFonts w:hint="eastAsia" w:ascii="宋体" w:hAnsi="宋体" w:cs="宋体"/>
                <w:b/>
                <w:szCs w:val="21"/>
                <w:highlight w:val="none"/>
              </w:rPr>
              <w:t>附表5：技术标详细评审结果汇总表</w:t>
            </w:r>
          </w:p>
          <w:p>
            <w:pPr>
              <w:spacing w:line="360" w:lineRule="auto"/>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技术标详细评审结果汇总表</w:t>
            </w:r>
          </w:p>
          <w:p>
            <w:pPr>
              <w:spacing w:line="360" w:lineRule="auto"/>
              <w:jc w:val="center"/>
              <w:rPr>
                <w:rFonts w:hint="eastAsia" w:ascii="宋体" w:hAnsi="宋体" w:cs="宋体"/>
                <w:bCs/>
                <w:snapToGrid w:val="0"/>
                <w:szCs w:val="21"/>
                <w:highlight w:val="none"/>
              </w:rPr>
            </w:pPr>
          </w:p>
          <w:p>
            <w:pPr>
              <w:spacing w:line="360" w:lineRule="auto"/>
              <w:jc w:val="left"/>
              <w:rPr>
                <w:rFonts w:hint="eastAsia" w:ascii="宋体" w:hAnsi="宋体" w:cs="宋体"/>
                <w:b/>
                <w:bCs/>
                <w:snapToGrid w:val="0"/>
                <w:szCs w:val="21"/>
                <w:highlight w:val="none"/>
              </w:rPr>
            </w:pPr>
            <w:r>
              <w:rPr>
                <w:rFonts w:hint="eastAsia" w:ascii="宋体" w:hAnsi="宋体" w:cs="宋体"/>
                <w:b/>
                <w:bCs/>
                <w:snapToGrid w:val="0"/>
                <w:szCs w:val="21"/>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b/>
                <w:bCs/>
                <w:snapToGrid w:val="0"/>
                <w:sz w:val="24"/>
                <w:szCs w:val="24"/>
                <w:highlight w:val="none"/>
              </w:rPr>
              <w:t>服务</w:t>
            </w:r>
          </w:p>
          <w:tbl>
            <w:tblPr>
              <w:tblStyle w:val="47"/>
              <w:tblW w:w="12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5"/>
              <w:gridCol w:w="3720"/>
              <w:gridCol w:w="932"/>
              <w:gridCol w:w="933"/>
              <w:gridCol w:w="932"/>
              <w:gridCol w:w="933"/>
              <w:gridCol w:w="933"/>
              <w:gridCol w:w="932"/>
              <w:gridCol w:w="933"/>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4" w:hRule="atLeast"/>
                <w:jc w:val="center"/>
              </w:trPr>
              <w:tc>
                <w:tcPr>
                  <w:tcW w:w="775"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3720" w:type="dxa"/>
                  <w:tcBorders>
                    <w:tl2br w:val="single" w:color="auto" w:sz="4" w:space="0"/>
                  </w:tcBorders>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 xml:space="preserve">                     评委</w:t>
                  </w:r>
                </w:p>
                <w:p>
                  <w:pPr>
                    <w:spacing w:line="360" w:lineRule="auto"/>
                    <w:jc w:val="left"/>
                    <w:rPr>
                      <w:rFonts w:hint="eastAsia" w:ascii="宋体" w:hAnsi="宋体" w:cs="宋体"/>
                      <w:b/>
                      <w:bCs/>
                      <w:kern w:val="0"/>
                      <w:szCs w:val="21"/>
                      <w:highlight w:val="none"/>
                    </w:rPr>
                  </w:pPr>
                  <w:r>
                    <w:rPr>
                      <w:rFonts w:hint="eastAsia" w:ascii="宋体" w:hAnsi="宋体" w:cs="宋体"/>
                      <w:b/>
                      <w:bCs/>
                      <w:kern w:val="0"/>
                      <w:szCs w:val="21"/>
                      <w:highlight w:val="none"/>
                    </w:rPr>
                    <w:t xml:space="preserve">   参选人</w:t>
                  </w:r>
                </w:p>
              </w:tc>
              <w:tc>
                <w:tcPr>
                  <w:tcW w:w="932"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评委1</w:t>
                  </w:r>
                </w:p>
              </w:tc>
              <w:tc>
                <w:tcPr>
                  <w:tcW w:w="933"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评委2</w:t>
                  </w:r>
                </w:p>
              </w:tc>
              <w:tc>
                <w:tcPr>
                  <w:tcW w:w="932"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评委3</w:t>
                  </w:r>
                </w:p>
              </w:tc>
              <w:tc>
                <w:tcPr>
                  <w:tcW w:w="933"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评委4</w:t>
                  </w:r>
                </w:p>
              </w:tc>
              <w:tc>
                <w:tcPr>
                  <w:tcW w:w="933"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评委5</w:t>
                  </w:r>
                </w:p>
              </w:tc>
              <w:tc>
                <w:tcPr>
                  <w:tcW w:w="932"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评委6</w:t>
                  </w:r>
                </w:p>
              </w:tc>
              <w:tc>
                <w:tcPr>
                  <w:tcW w:w="933"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评委7</w:t>
                  </w:r>
                </w:p>
              </w:tc>
              <w:tc>
                <w:tcPr>
                  <w:tcW w:w="1155" w:type="dxa"/>
                  <w:noWrap w:val="0"/>
                  <w:vAlign w:val="center"/>
                </w:tcPr>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技术标得分</w:t>
                  </w:r>
                </w:p>
                <w:p>
                  <w:pPr>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noWrap w:val="0"/>
                  <w:vAlign w:val="center"/>
                </w:tcPr>
                <w:p>
                  <w:pPr>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3720"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top"/>
                </w:tcPr>
                <w:p>
                  <w:pPr>
                    <w:spacing w:line="360" w:lineRule="auto"/>
                    <w:jc w:val="center"/>
                    <w:rPr>
                      <w:rFonts w:hint="eastAsia" w:ascii="宋体" w:hAnsi="宋体" w:cs="宋体"/>
                      <w:kern w:val="0"/>
                      <w:szCs w:val="21"/>
                      <w:highlight w:val="none"/>
                    </w:rPr>
                  </w:pPr>
                </w:p>
              </w:tc>
              <w:tc>
                <w:tcPr>
                  <w:tcW w:w="933" w:type="dxa"/>
                  <w:noWrap w:val="0"/>
                  <w:vAlign w:val="top"/>
                </w:tcPr>
                <w:p>
                  <w:pPr>
                    <w:spacing w:line="360" w:lineRule="auto"/>
                    <w:jc w:val="center"/>
                    <w:rPr>
                      <w:rFonts w:hint="eastAsia" w:ascii="宋体" w:hAnsi="宋体" w:cs="宋体"/>
                      <w:kern w:val="0"/>
                      <w:szCs w:val="21"/>
                      <w:highlight w:val="none"/>
                    </w:rPr>
                  </w:pPr>
                </w:p>
              </w:tc>
              <w:tc>
                <w:tcPr>
                  <w:tcW w:w="1155" w:type="dxa"/>
                  <w:noWrap w:val="0"/>
                  <w:vAlign w:val="center"/>
                </w:tcPr>
                <w:p>
                  <w:pPr>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noWrap w:val="0"/>
                  <w:vAlign w:val="center"/>
                </w:tcPr>
                <w:p>
                  <w:pPr>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3720"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top"/>
                </w:tcPr>
                <w:p>
                  <w:pPr>
                    <w:spacing w:line="360" w:lineRule="auto"/>
                    <w:jc w:val="center"/>
                    <w:rPr>
                      <w:rFonts w:hint="eastAsia" w:ascii="宋体" w:hAnsi="宋体" w:cs="宋体"/>
                      <w:kern w:val="0"/>
                      <w:szCs w:val="21"/>
                      <w:highlight w:val="none"/>
                    </w:rPr>
                  </w:pPr>
                </w:p>
              </w:tc>
              <w:tc>
                <w:tcPr>
                  <w:tcW w:w="933" w:type="dxa"/>
                  <w:noWrap w:val="0"/>
                  <w:vAlign w:val="top"/>
                </w:tcPr>
                <w:p>
                  <w:pPr>
                    <w:spacing w:line="360" w:lineRule="auto"/>
                    <w:jc w:val="center"/>
                    <w:rPr>
                      <w:rFonts w:hint="eastAsia" w:ascii="宋体" w:hAnsi="宋体" w:cs="宋体"/>
                      <w:kern w:val="0"/>
                      <w:szCs w:val="21"/>
                      <w:highlight w:val="none"/>
                    </w:rPr>
                  </w:pPr>
                </w:p>
              </w:tc>
              <w:tc>
                <w:tcPr>
                  <w:tcW w:w="1155" w:type="dxa"/>
                  <w:noWrap w:val="0"/>
                  <w:vAlign w:val="center"/>
                </w:tcPr>
                <w:p>
                  <w:pPr>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noWrap w:val="0"/>
                  <w:vAlign w:val="center"/>
                </w:tcPr>
                <w:p>
                  <w:pPr>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3720"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top"/>
                </w:tcPr>
                <w:p>
                  <w:pPr>
                    <w:spacing w:line="360" w:lineRule="auto"/>
                    <w:jc w:val="center"/>
                    <w:rPr>
                      <w:rFonts w:hint="eastAsia" w:ascii="宋体" w:hAnsi="宋体" w:cs="宋体"/>
                      <w:kern w:val="0"/>
                      <w:szCs w:val="21"/>
                      <w:highlight w:val="none"/>
                    </w:rPr>
                  </w:pPr>
                </w:p>
              </w:tc>
              <w:tc>
                <w:tcPr>
                  <w:tcW w:w="933" w:type="dxa"/>
                  <w:noWrap w:val="0"/>
                  <w:vAlign w:val="top"/>
                </w:tcPr>
                <w:p>
                  <w:pPr>
                    <w:spacing w:line="360" w:lineRule="auto"/>
                    <w:jc w:val="center"/>
                    <w:rPr>
                      <w:rFonts w:hint="eastAsia" w:ascii="宋体" w:hAnsi="宋体" w:cs="宋体"/>
                      <w:kern w:val="0"/>
                      <w:szCs w:val="21"/>
                      <w:highlight w:val="none"/>
                    </w:rPr>
                  </w:pPr>
                </w:p>
              </w:tc>
              <w:tc>
                <w:tcPr>
                  <w:tcW w:w="1155" w:type="dxa"/>
                  <w:noWrap w:val="0"/>
                  <w:vAlign w:val="center"/>
                </w:tcPr>
                <w:p>
                  <w:pPr>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noWrap w:val="0"/>
                  <w:vAlign w:val="center"/>
                </w:tcPr>
                <w:p>
                  <w:pPr>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4</w:t>
                  </w:r>
                </w:p>
              </w:tc>
              <w:tc>
                <w:tcPr>
                  <w:tcW w:w="3720"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top"/>
                </w:tcPr>
                <w:p>
                  <w:pPr>
                    <w:spacing w:line="360" w:lineRule="auto"/>
                    <w:jc w:val="center"/>
                    <w:rPr>
                      <w:rFonts w:hint="eastAsia" w:ascii="宋体" w:hAnsi="宋体" w:cs="宋体"/>
                      <w:kern w:val="0"/>
                      <w:szCs w:val="21"/>
                      <w:highlight w:val="none"/>
                    </w:rPr>
                  </w:pPr>
                </w:p>
              </w:tc>
              <w:tc>
                <w:tcPr>
                  <w:tcW w:w="933" w:type="dxa"/>
                  <w:noWrap w:val="0"/>
                  <w:vAlign w:val="top"/>
                </w:tcPr>
                <w:p>
                  <w:pPr>
                    <w:spacing w:line="360" w:lineRule="auto"/>
                    <w:jc w:val="center"/>
                    <w:rPr>
                      <w:rFonts w:hint="eastAsia" w:ascii="宋体" w:hAnsi="宋体" w:cs="宋体"/>
                      <w:kern w:val="0"/>
                      <w:szCs w:val="21"/>
                      <w:highlight w:val="none"/>
                    </w:rPr>
                  </w:pPr>
                </w:p>
              </w:tc>
              <w:tc>
                <w:tcPr>
                  <w:tcW w:w="1155" w:type="dxa"/>
                  <w:noWrap w:val="0"/>
                  <w:vAlign w:val="center"/>
                </w:tcPr>
                <w:p>
                  <w:pPr>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noWrap w:val="0"/>
                  <w:vAlign w:val="center"/>
                </w:tcPr>
                <w:p>
                  <w:pPr>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5</w:t>
                  </w:r>
                </w:p>
              </w:tc>
              <w:tc>
                <w:tcPr>
                  <w:tcW w:w="3720"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top"/>
                </w:tcPr>
                <w:p>
                  <w:pPr>
                    <w:spacing w:line="360" w:lineRule="auto"/>
                    <w:jc w:val="center"/>
                    <w:rPr>
                      <w:rFonts w:hint="eastAsia" w:ascii="宋体" w:hAnsi="宋体" w:cs="宋体"/>
                      <w:kern w:val="0"/>
                      <w:szCs w:val="21"/>
                      <w:highlight w:val="none"/>
                    </w:rPr>
                  </w:pPr>
                </w:p>
              </w:tc>
              <w:tc>
                <w:tcPr>
                  <w:tcW w:w="933" w:type="dxa"/>
                  <w:noWrap w:val="0"/>
                  <w:vAlign w:val="top"/>
                </w:tcPr>
                <w:p>
                  <w:pPr>
                    <w:spacing w:line="360" w:lineRule="auto"/>
                    <w:jc w:val="center"/>
                    <w:rPr>
                      <w:rFonts w:hint="eastAsia" w:ascii="宋体" w:hAnsi="宋体" w:cs="宋体"/>
                      <w:kern w:val="0"/>
                      <w:szCs w:val="21"/>
                      <w:highlight w:val="none"/>
                    </w:rPr>
                  </w:pPr>
                </w:p>
              </w:tc>
              <w:tc>
                <w:tcPr>
                  <w:tcW w:w="1155" w:type="dxa"/>
                  <w:noWrap w:val="0"/>
                  <w:vAlign w:val="center"/>
                </w:tcPr>
                <w:p>
                  <w:pPr>
                    <w:spacing w:line="360" w:lineRule="auto"/>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775" w:type="dxa"/>
                  <w:noWrap w:val="0"/>
                  <w:vAlign w:val="center"/>
                </w:tcPr>
                <w:p>
                  <w:pPr>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6</w:t>
                  </w:r>
                </w:p>
              </w:tc>
              <w:tc>
                <w:tcPr>
                  <w:tcW w:w="3720"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3" w:type="dxa"/>
                  <w:noWrap w:val="0"/>
                  <w:vAlign w:val="center"/>
                </w:tcPr>
                <w:p>
                  <w:pPr>
                    <w:spacing w:line="360" w:lineRule="auto"/>
                    <w:jc w:val="center"/>
                    <w:rPr>
                      <w:rFonts w:hint="eastAsia" w:ascii="宋体" w:hAnsi="宋体" w:cs="宋体"/>
                      <w:kern w:val="0"/>
                      <w:szCs w:val="21"/>
                      <w:highlight w:val="none"/>
                    </w:rPr>
                  </w:pPr>
                </w:p>
              </w:tc>
              <w:tc>
                <w:tcPr>
                  <w:tcW w:w="932" w:type="dxa"/>
                  <w:noWrap w:val="0"/>
                  <w:vAlign w:val="top"/>
                </w:tcPr>
                <w:p>
                  <w:pPr>
                    <w:spacing w:line="360" w:lineRule="auto"/>
                    <w:jc w:val="center"/>
                    <w:rPr>
                      <w:rFonts w:hint="eastAsia" w:ascii="宋体" w:hAnsi="宋体" w:cs="宋体"/>
                      <w:kern w:val="0"/>
                      <w:szCs w:val="21"/>
                      <w:highlight w:val="none"/>
                    </w:rPr>
                  </w:pPr>
                </w:p>
              </w:tc>
              <w:tc>
                <w:tcPr>
                  <w:tcW w:w="933" w:type="dxa"/>
                  <w:noWrap w:val="0"/>
                  <w:vAlign w:val="top"/>
                </w:tcPr>
                <w:p>
                  <w:pPr>
                    <w:spacing w:line="360" w:lineRule="auto"/>
                    <w:jc w:val="center"/>
                    <w:rPr>
                      <w:rFonts w:hint="eastAsia" w:ascii="宋体" w:hAnsi="宋体" w:cs="宋体"/>
                      <w:kern w:val="0"/>
                      <w:szCs w:val="21"/>
                      <w:highlight w:val="none"/>
                    </w:rPr>
                  </w:pPr>
                </w:p>
              </w:tc>
              <w:tc>
                <w:tcPr>
                  <w:tcW w:w="1155" w:type="dxa"/>
                  <w:noWrap w:val="0"/>
                  <w:vAlign w:val="center"/>
                </w:tcPr>
                <w:p>
                  <w:pPr>
                    <w:spacing w:line="360" w:lineRule="auto"/>
                    <w:jc w:val="center"/>
                    <w:rPr>
                      <w:rFonts w:hint="eastAsia" w:ascii="宋体" w:hAnsi="宋体" w:cs="宋体"/>
                      <w:kern w:val="0"/>
                      <w:szCs w:val="21"/>
                      <w:highlight w:val="none"/>
                    </w:rPr>
                  </w:pPr>
                </w:p>
              </w:tc>
            </w:tr>
          </w:tbl>
          <w:p>
            <w:pPr>
              <w:spacing w:line="360" w:lineRule="auto"/>
              <w:jc w:val="left"/>
              <w:rPr>
                <w:rFonts w:hint="eastAsia" w:ascii="宋体" w:hAnsi="宋体" w:cs="宋体"/>
                <w:szCs w:val="21"/>
                <w:highlight w:val="none"/>
              </w:rPr>
            </w:pPr>
            <w:r>
              <w:rPr>
                <w:rFonts w:hint="eastAsia" w:ascii="宋体" w:hAnsi="宋体" w:cs="宋体"/>
                <w:szCs w:val="21"/>
                <w:highlight w:val="none"/>
              </w:rPr>
              <w:t>说明： 1、参选人技术标得分的计算办法：取各评委对每一个参选人的技术标评审得分值的算术平均值，即为该参选人技术标得分。</w:t>
            </w:r>
          </w:p>
          <w:p>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2、技术标得分的算术平均值保留小数点后两位数字，且四舍五入。</w:t>
            </w:r>
          </w:p>
          <w:p>
            <w:pPr>
              <w:pStyle w:val="20"/>
              <w:snapToGrid w:val="0"/>
              <w:rPr>
                <w:rFonts w:hint="eastAsia" w:ascii="宋体" w:hAnsi="宋体" w:cs="宋体"/>
                <w:sz w:val="21"/>
                <w:szCs w:val="21"/>
                <w:highlight w:val="none"/>
              </w:rPr>
            </w:pPr>
          </w:p>
          <w:p>
            <w:pPr>
              <w:tabs>
                <w:tab w:val="left" w:pos="0"/>
              </w:tabs>
              <w:snapToGrid w:val="0"/>
              <w:spacing w:line="360" w:lineRule="auto"/>
              <w:rPr>
                <w:rFonts w:hint="eastAsia" w:ascii="宋体" w:hAnsi="宋体" w:cs="宋体"/>
                <w:b/>
                <w:szCs w:val="21"/>
                <w:highlight w:val="none"/>
              </w:rPr>
            </w:pPr>
            <w:r>
              <w:rPr>
                <w:rFonts w:hint="eastAsia" w:ascii="宋体" w:hAnsi="宋体" w:cs="宋体"/>
                <w:b/>
                <w:szCs w:val="21"/>
                <w:highlight w:val="none"/>
              </w:rPr>
              <w:t>评委(签名)：</w:t>
            </w:r>
          </w:p>
          <w:p>
            <w:pPr>
              <w:widowControl/>
              <w:spacing w:line="360" w:lineRule="auto"/>
              <w:rPr>
                <w:rFonts w:hint="eastAsia" w:ascii="宋体" w:hAnsi="宋体" w:cs="宋体"/>
                <w:b/>
                <w:szCs w:val="21"/>
                <w:highlight w:val="none"/>
              </w:rPr>
            </w:pPr>
            <w:r>
              <w:rPr>
                <w:rFonts w:hint="eastAsia" w:ascii="宋体" w:hAnsi="宋体" w:cs="宋体"/>
                <w:b/>
                <w:szCs w:val="21"/>
                <w:highlight w:val="none"/>
              </w:rPr>
              <w:t xml:space="preserve">监督（签名）：  </w:t>
            </w:r>
            <w:r>
              <w:rPr>
                <w:rFonts w:hint="eastAsia" w:ascii="宋体" w:hAnsi="宋体" w:cs="宋体"/>
                <w:szCs w:val="21"/>
                <w:highlight w:val="none"/>
              </w:rPr>
              <w:t xml:space="preserve">                                                                             </w:t>
            </w: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rPr>
                <w:rFonts w:hint="eastAsia" w:ascii="宋体" w:hAnsi="宋体" w:cs="宋体"/>
                <w:b/>
                <w:szCs w:val="21"/>
                <w:highlight w:val="none"/>
              </w:rPr>
            </w:pPr>
          </w:p>
          <w:p>
            <w:pPr>
              <w:widowControl/>
              <w:spacing w:line="360" w:lineRule="auto"/>
              <w:rPr>
                <w:rFonts w:hint="eastAsia" w:ascii="宋体" w:hAnsi="宋体" w:cs="宋体"/>
                <w:b/>
                <w:szCs w:val="21"/>
                <w:highlight w:val="none"/>
              </w:rPr>
            </w:pPr>
          </w:p>
          <w:p>
            <w:pPr>
              <w:spacing w:line="360" w:lineRule="auto"/>
              <w:jc w:val="left"/>
              <w:rPr>
                <w:rFonts w:hint="eastAsia" w:ascii="宋体" w:hAnsi="宋体" w:cs="宋体"/>
                <w:b/>
                <w:szCs w:val="21"/>
                <w:highlight w:val="none"/>
              </w:rPr>
            </w:pPr>
            <w:r>
              <w:rPr>
                <w:rFonts w:hint="eastAsia" w:ascii="宋体" w:hAnsi="宋体" w:cs="宋体"/>
                <w:b/>
                <w:szCs w:val="21"/>
                <w:highlight w:val="none"/>
              </w:rPr>
              <w:t>附表6：</w:t>
            </w:r>
            <w:r>
              <w:rPr>
                <w:rFonts w:hint="eastAsia" w:ascii="宋体" w:hAnsi="宋体" w:cs="宋体"/>
                <w:b/>
                <w:bCs/>
                <w:kern w:val="0"/>
                <w:szCs w:val="21"/>
                <w:highlight w:val="none"/>
              </w:rPr>
              <w:t xml:space="preserve"> 商务标初步评审表</w:t>
            </w:r>
          </w:p>
          <w:p>
            <w:pPr>
              <w:spacing w:after="120" w:afterLines="50" w:line="360" w:lineRule="auto"/>
              <w:ind w:right="350"/>
              <w:jc w:val="center"/>
              <w:rPr>
                <w:rFonts w:hint="eastAsia" w:ascii="宋体" w:hAnsi="宋体" w:cs="宋体"/>
                <w:b/>
                <w:kern w:val="0"/>
                <w:sz w:val="24"/>
                <w:szCs w:val="24"/>
                <w:highlight w:val="none"/>
              </w:rPr>
            </w:pPr>
            <w:r>
              <w:rPr>
                <w:rFonts w:hint="eastAsia" w:ascii="宋体" w:hAnsi="宋体" w:cs="宋体"/>
                <w:b/>
                <w:kern w:val="0"/>
                <w:sz w:val="24"/>
                <w:szCs w:val="24"/>
                <w:highlight w:val="none"/>
              </w:rPr>
              <w:t>商务标初步评审表</w:t>
            </w:r>
          </w:p>
          <w:p>
            <w:pPr>
              <w:spacing w:line="360" w:lineRule="auto"/>
              <w:jc w:val="left"/>
              <w:rPr>
                <w:rFonts w:hint="eastAsia" w:ascii="宋体" w:hAnsi="宋体" w:cs="宋体"/>
                <w:b/>
                <w:kern w:val="0"/>
                <w:szCs w:val="21"/>
                <w:highlight w:val="none"/>
              </w:rPr>
            </w:pPr>
            <w:r>
              <w:rPr>
                <w:rFonts w:hint="eastAsia" w:ascii="宋体" w:hAnsi="宋体" w:cs="宋体"/>
                <w:b/>
                <w:kern w:val="0"/>
                <w:szCs w:val="21"/>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b/>
                <w:bCs/>
                <w:snapToGrid w:val="0"/>
                <w:sz w:val="24"/>
                <w:szCs w:val="24"/>
                <w:highlight w:val="none"/>
              </w:rPr>
              <w:t>服务</w:t>
            </w:r>
          </w:p>
          <w:tbl>
            <w:tblPr>
              <w:tblStyle w:val="47"/>
              <w:tblpPr w:leftFromText="180" w:rightFromText="180" w:vertAnchor="text" w:horzAnchor="page" w:tblpX="-1393" w:tblpY="471"/>
              <w:tblOverlap w:val="never"/>
              <w:tblW w:w="11698" w:type="dxa"/>
              <w:tblInd w:w="0" w:type="dxa"/>
              <w:tblLayout w:type="fixed"/>
              <w:tblCellMar>
                <w:top w:w="0" w:type="dxa"/>
                <w:left w:w="108" w:type="dxa"/>
                <w:bottom w:w="0" w:type="dxa"/>
                <w:right w:w="108" w:type="dxa"/>
              </w:tblCellMar>
            </w:tblPr>
            <w:tblGrid>
              <w:gridCol w:w="816"/>
              <w:gridCol w:w="5879"/>
              <w:gridCol w:w="999"/>
              <w:gridCol w:w="1124"/>
              <w:gridCol w:w="999"/>
              <w:gridCol w:w="907"/>
              <w:gridCol w:w="974"/>
            </w:tblGrid>
            <w:tr>
              <w:tblPrEx>
                <w:tblCellMar>
                  <w:top w:w="0" w:type="dxa"/>
                  <w:left w:w="108" w:type="dxa"/>
                  <w:bottom w:w="0" w:type="dxa"/>
                  <w:right w:w="108" w:type="dxa"/>
                </w:tblCellMar>
              </w:tblPrEx>
              <w:trPr>
                <w:trHeight w:val="483" w:hRule="atLeast"/>
              </w:trPr>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r>
                    <w:rPr>
                      <w:rFonts w:hint="eastAsia" w:ascii="宋体" w:hAnsi="宋体" w:cs="宋体"/>
                      <w:bCs/>
                      <w:kern w:val="0"/>
                      <w:szCs w:val="21"/>
                      <w:highlight w:val="none"/>
                    </w:rPr>
                    <w:t>序号</w:t>
                  </w:r>
                </w:p>
              </w:tc>
              <w:tc>
                <w:tcPr>
                  <w:tcW w:w="5879" w:type="dxa"/>
                  <w:vMerge w:val="restart"/>
                  <w:tcBorders>
                    <w:top w:val="single" w:color="auto" w:sz="4" w:space="0"/>
                    <w:left w:val="single" w:color="auto" w:sz="4" w:space="0"/>
                    <w:bottom w:val="single" w:color="auto" w:sz="4" w:space="0"/>
                    <w:right w:val="single" w:color="auto" w:sz="4" w:space="0"/>
                    <w:tl2br w:val="single" w:color="auto" w:sz="4" w:space="0"/>
                  </w:tcBorders>
                  <w:noWrap w:val="0"/>
                  <w:vAlign w:val="center"/>
                </w:tcPr>
                <w:p>
                  <w:pPr>
                    <w:widowControl/>
                    <w:spacing w:line="360" w:lineRule="auto"/>
                    <w:jc w:val="center"/>
                    <w:rPr>
                      <w:rFonts w:hint="eastAsia" w:ascii="宋体" w:hAnsi="宋体" w:cs="宋体"/>
                      <w:bCs/>
                      <w:kern w:val="0"/>
                      <w:szCs w:val="21"/>
                      <w:highlight w:val="none"/>
                    </w:rPr>
                  </w:pPr>
                  <w:r>
                    <w:rPr>
                      <w:rFonts w:hint="eastAsia" w:ascii="宋体" w:hAnsi="宋体" w:cs="宋体"/>
                      <w:bCs/>
                      <w:kern w:val="0"/>
                      <w:szCs w:val="21"/>
                      <w:highlight w:val="none"/>
                    </w:rPr>
                    <w:t>参选人</w:t>
                  </w:r>
                  <w:r>
                    <w:rPr>
                      <w:rFonts w:hint="eastAsia" w:ascii="宋体" w:hAnsi="宋体" w:cs="宋体"/>
                      <w:bCs/>
                      <w:kern w:val="0"/>
                      <w:szCs w:val="21"/>
                      <w:highlight w:val="none"/>
                    </w:rPr>
                    <w:br w:type="textWrapping"/>
                  </w:r>
                  <w:r>
                    <w:rPr>
                      <w:rFonts w:hint="eastAsia" w:ascii="宋体" w:hAnsi="宋体" w:cs="宋体"/>
                      <w:bCs/>
                      <w:kern w:val="0"/>
                      <w:szCs w:val="21"/>
                      <w:highlight w:val="none"/>
                    </w:rPr>
                    <w:t xml:space="preserve">  项目名称</w:t>
                  </w:r>
                </w:p>
              </w:tc>
              <w:tc>
                <w:tcPr>
                  <w:tcW w:w="5003"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r>
                    <w:rPr>
                      <w:rFonts w:hint="eastAsia" w:ascii="宋体" w:hAnsi="宋体" w:cs="宋体"/>
                      <w:bCs/>
                      <w:kern w:val="0"/>
                      <w:szCs w:val="21"/>
                      <w:highlight w:val="none"/>
                    </w:rPr>
                    <w:t>参选人名称</w:t>
                  </w:r>
                </w:p>
              </w:tc>
            </w:tr>
            <w:tr>
              <w:tblPrEx>
                <w:tblCellMar>
                  <w:top w:w="0" w:type="dxa"/>
                  <w:left w:w="108" w:type="dxa"/>
                  <w:bottom w:w="0" w:type="dxa"/>
                  <w:right w:w="108" w:type="dxa"/>
                </w:tblCellMar>
              </w:tblPrEx>
              <w:trPr>
                <w:trHeight w:val="483" w:hRule="atLeast"/>
              </w:trPr>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c>
                <w:tcPr>
                  <w:tcW w:w="587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c>
                <w:tcPr>
                  <w:tcW w:w="97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Cs/>
                      <w:kern w:val="0"/>
                      <w:szCs w:val="21"/>
                      <w:highlight w:val="none"/>
                    </w:rPr>
                  </w:pPr>
                </w:p>
              </w:tc>
            </w:tr>
            <w:tr>
              <w:tblPrEx>
                <w:tblCellMar>
                  <w:top w:w="0" w:type="dxa"/>
                  <w:left w:w="108" w:type="dxa"/>
                  <w:bottom w:w="0" w:type="dxa"/>
                  <w:right w:w="108" w:type="dxa"/>
                </w:tblCellMar>
              </w:tblPrEx>
              <w:trPr>
                <w:trHeight w:val="619"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1</w:t>
                  </w:r>
                </w:p>
              </w:tc>
              <w:tc>
                <w:tcPr>
                  <w:tcW w:w="587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120" w:beforeLines="50" w:line="360" w:lineRule="auto"/>
                    <w:jc w:val="center"/>
                    <w:rPr>
                      <w:rFonts w:hint="eastAsia" w:ascii="宋体" w:hAnsi="宋体" w:cs="宋体"/>
                      <w:szCs w:val="21"/>
                      <w:highlight w:val="none"/>
                    </w:rPr>
                  </w:pPr>
                  <w:r>
                    <w:rPr>
                      <w:rFonts w:hint="eastAsia" w:ascii="宋体" w:hAnsi="宋体" w:cs="宋体"/>
                      <w:szCs w:val="21"/>
                      <w:highlight w:val="none"/>
                    </w:rPr>
                    <w:t>商务标文件按要求加盖参选人公章</w:t>
                  </w: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7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r>
            <w:tr>
              <w:tblPrEx>
                <w:tblCellMar>
                  <w:top w:w="0" w:type="dxa"/>
                  <w:left w:w="108" w:type="dxa"/>
                  <w:bottom w:w="0" w:type="dxa"/>
                  <w:right w:w="108" w:type="dxa"/>
                </w:tblCellMar>
              </w:tblPrEx>
              <w:trPr>
                <w:trHeight w:val="641"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2</w:t>
                  </w:r>
                </w:p>
              </w:tc>
              <w:tc>
                <w:tcPr>
                  <w:tcW w:w="587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《参选函》中的内容按比选文件的要求填写并签字盖章</w:t>
                  </w: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hint="eastAsia" w:ascii="宋体" w:hAnsi="宋体" w:cs="宋体"/>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7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r>
            <w:tr>
              <w:tblPrEx>
                <w:tblCellMar>
                  <w:top w:w="0" w:type="dxa"/>
                  <w:left w:w="108" w:type="dxa"/>
                  <w:bottom w:w="0" w:type="dxa"/>
                  <w:right w:w="108" w:type="dxa"/>
                </w:tblCellMar>
              </w:tblPrEx>
              <w:trPr>
                <w:trHeight w:val="946"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3</w:t>
                  </w:r>
                </w:p>
              </w:tc>
              <w:tc>
                <w:tcPr>
                  <w:tcW w:w="587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宋体" w:hAnsi="宋体" w:cs="宋体"/>
                      <w:szCs w:val="21"/>
                      <w:highlight w:val="none"/>
                    </w:rPr>
                  </w:pPr>
                  <w:r>
                    <w:rPr>
                      <w:rFonts w:hint="eastAsia" w:ascii="宋体" w:hAnsi="宋体" w:cs="宋体"/>
                      <w:szCs w:val="21"/>
                      <w:highlight w:val="none"/>
                    </w:rPr>
                    <w:t>参选人的报价不高于控制价（总</w:t>
                  </w:r>
                  <w:r>
                    <w:rPr>
                      <w:rFonts w:ascii="宋体" w:hAnsi="宋体" w:cs="宋体"/>
                      <w:szCs w:val="21"/>
                      <w:highlight w:val="none"/>
                    </w:rPr>
                    <w:t>价及分项报价</w:t>
                  </w:r>
                  <w:r>
                    <w:rPr>
                      <w:rFonts w:hint="eastAsia" w:ascii="宋体" w:hAnsi="宋体" w:cs="宋体"/>
                      <w:szCs w:val="21"/>
                      <w:highlight w:val="none"/>
                    </w:rPr>
                    <w:t>均不高于控制价</w:t>
                  </w:r>
                  <w:r>
                    <w:rPr>
                      <w:rFonts w:ascii="宋体" w:hAnsi="宋体" w:cs="宋体"/>
                      <w:szCs w:val="21"/>
                      <w:highlight w:val="none"/>
                    </w:rPr>
                    <w:t>）</w:t>
                  </w: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60" w:lineRule="auto"/>
                    <w:jc w:val="center"/>
                    <w:rPr>
                      <w:rFonts w:hint="eastAsia" w:ascii="宋体" w:hAnsi="宋体" w:cs="宋体"/>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7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r>
            <w:tr>
              <w:tblPrEx>
                <w:tblCellMar>
                  <w:top w:w="0" w:type="dxa"/>
                  <w:left w:w="108" w:type="dxa"/>
                  <w:bottom w:w="0" w:type="dxa"/>
                  <w:right w:w="108" w:type="dxa"/>
                </w:tblCellMar>
              </w:tblPrEx>
              <w:trPr>
                <w:trHeight w:val="762" w:hRule="atLeast"/>
              </w:trPr>
              <w:tc>
                <w:tcPr>
                  <w:tcW w:w="669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 审 结 论</w:t>
                  </w: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9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0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97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r>
          </w:tbl>
          <w:p>
            <w:pPr>
              <w:tabs>
                <w:tab w:val="left" w:pos="0"/>
              </w:tabs>
              <w:snapToGrid w:val="0"/>
              <w:spacing w:line="360" w:lineRule="auto"/>
              <w:rPr>
                <w:rFonts w:hint="eastAsia" w:ascii="宋体" w:hAnsi="宋体" w:cs="宋体"/>
                <w:szCs w:val="21"/>
                <w:highlight w:val="none"/>
              </w:rPr>
            </w:pPr>
            <w:r>
              <w:rPr>
                <w:rFonts w:hint="eastAsia" w:ascii="宋体" w:hAnsi="宋体" w:cs="宋体"/>
                <w:b/>
                <w:szCs w:val="21"/>
                <w:highlight w:val="none"/>
              </w:rPr>
              <w:t>说明：</w:t>
            </w:r>
            <w:r>
              <w:rPr>
                <w:rFonts w:hint="eastAsia" w:ascii="宋体" w:hAnsi="宋体" w:cs="宋体"/>
                <w:szCs w:val="21"/>
                <w:highlight w:val="none"/>
              </w:rPr>
              <w:t>1、评审通过的用“√”表示，未通过的用“×”表示。结论用“合格”或“不合格”表示。</w:t>
            </w:r>
          </w:p>
          <w:p>
            <w:pPr>
              <w:tabs>
                <w:tab w:val="left" w:pos="0"/>
              </w:tabs>
              <w:snapToGrid w:val="0"/>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2、只有以上项目全部通过，评审结论为“合格”，否则结论为“不合格”。</w:t>
            </w:r>
          </w:p>
          <w:p>
            <w:pPr>
              <w:tabs>
                <w:tab w:val="left" w:pos="0"/>
              </w:tabs>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评委（签名）：</w:t>
            </w:r>
          </w:p>
          <w:p>
            <w:pPr>
              <w:tabs>
                <w:tab w:val="left" w:pos="0"/>
              </w:tabs>
              <w:snapToGrid w:val="0"/>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监督（签名）：</w:t>
            </w:r>
          </w:p>
          <w:p>
            <w:pPr>
              <w:tabs>
                <w:tab w:val="left" w:pos="0"/>
              </w:tabs>
              <w:snapToGrid w:val="0"/>
              <w:spacing w:line="360" w:lineRule="auto"/>
              <w:ind w:firstLine="422" w:firstLineChars="200"/>
              <w:jc w:val="right"/>
              <w:rPr>
                <w:rFonts w:hint="eastAsia" w:ascii="宋体" w:hAnsi="宋体" w:cs="宋体"/>
                <w:szCs w:val="21"/>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rPr>
                <w:rFonts w:hint="eastAsia" w:ascii="宋体" w:hAnsi="宋体" w:cs="宋体"/>
                <w:b/>
                <w:szCs w:val="21"/>
                <w:highlight w:val="none"/>
              </w:rPr>
            </w:pPr>
          </w:p>
          <w:p>
            <w:pPr>
              <w:pStyle w:val="2"/>
              <w:rPr>
                <w:rFonts w:hint="eastAsia" w:ascii="宋体" w:hAnsi="宋体" w:cs="宋体"/>
                <w:b/>
                <w:szCs w:val="21"/>
                <w:highlight w:val="none"/>
              </w:rPr>
            </w:pPr>
          </w:p>
          <w:p>
            <w:pPr>
              <w:pStyle w:val="2"/>
              <w:rPr>
                <w:rFonts w:hint="eastAsia" w:ascii="宋体" w:hAnsi="宋体" w:cs="宋体"/>
                <w:b/>
                <w:szCs w:val="21"/>
                <w:highlight w:val="none"/>
              </w:rPr>
            </w:pPr>
          </w:p>
          <w:p>
            <w:pPr>
              <w:pStyle w:val="2"/>
              <w:rPr>
                <w:rFonts w:hint="eastAsia" w:ascii="宋体" w:hAnsi="宋体" w:cs="宋体"/>
                <w:b/>
                <w:szCs w:val="21"/>
                <w:highlight w:val="none"/>
              </w:rPr>
            </w:pPr>
          </w:p>
          <w:p>
            <w:pPr>
              <w:pStyle w:val="2"/>
              <w:rPr>
                <w:rFonts w:hint="eastAsia" w:ascii="宋体" w:hAnsi="宋体" w:cs="宋体"/>
                <w:b/>
                <w:szCs w:val="21"/>
                <w:highlight w:val="none"/>
              </w:rPr>
            </w:pPr>
          </w:p>
          <w:p>
            <w:pPr>
              <w:widowControl/>
              <w:spacing w:line="360" w:lineRule="auto"/>
              <w:rPr>
                <w:rFonts w:hint="eastAsia" w:ascii="宋体" w:hAnsi="宋体" w:cs="宋体"/>
                <w:b/>
                <w:szCs w:val="21"/>
                <w:highlight w:val="none"/>
              </w:rPr>
            </w:pPr>
            <w:r>
              <w:rPr>
                <w:rFonts w:hint="eastAsia" w:ascii="宋体" w:hAnsi="宋体" w:cs="宋体"/>
                <w:b/>
                <w:szCs w:val="21"/>
                <w:highlight w:val="none"/>
              </w:rPr>
              <w:t>附表7：商务标详细评审表</w:t>
            </w:r>
          </w:p>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商务标详细评审表</w:t>
            </w:r>
            <w:bookmarkEnd w:id="117"/>
          </w:p>
          <w:p>
            <w:pPr>
              <w:widowControl/>
              <w:spacing w:after="120" w:afterLines="50" w:line="360" w:lineRule="auto"/>
              <w:jc w:val="left"/>
              <w:rPr>
                <w:rFonts w:hint="eastAsia" w:ascii="宋体" w:hAnsi="宋体" w:cs="宋体"/>
                <w:b/>
                <w:kern w:val="0"/>
                <w:szCs w:val="21"/>
                <w:highlight w:val="none"/>
              </w:rPr>
            </w:pPr>
            <w:r>
              <w:rPr>
                <w:rFonts w:hint="eastAsia" w:ascii="宋体" w:hAnsi="宋体" w:cs="宋体"/>
                <w:b/>
                <w:bCs/>
                <w:snapToGrid w:val="0"/>
                <w:szCs w:val="21"/>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b/>
                <w:bCs/>
                <w:snapToGrid w:val="0"/>
                <w:sz w:val="24"/>
                <w:szCs w:val="24"/>
                <w:highlight w:val="none"/>
              </w:rPr>
              <w:t>服务</w:t>
            </w:r>
          </w:p>
        </w:tc>
      </w:tr>
      <w:tr>
        <w:tblPrEx>
          <w:tblCellMar>
            <w:top w:w="0" w:type="dxa"/>
            <w:left w:w="0" w:type="dxa"/>
            <w:bottom w:w="0" w:type="dxa"/>
            <w:right w:w="0" w:type="dxa"/>
          </w:tblCellMar>
        </w:tblPrEx>
        <w:trPr>
          <w:trHeight w:val="261" w:hRule="atLeast"/>
          <w:jc w:val="center"/>
        </w:trPr>
        <w:tc>
          <w:tcPr>
            <w:tcW w:w="610" w:type="dxa"/>
            <w:vMerge w:val="restart"/>
            <w:tcBorders>
              <w:top w:val="single" w:color="auto" w:sz="4" w:space="0"/>
              <w:left w:val="single" w:color="auto" w:sz="8"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序号</w:t>
            </w:r>
          </w:p>
        </w:tc>
        <w:tc>
          <w:tcPr>
            <w:tcW w:w="1074" w:type="dxa"/>
            <w:gridSpan w:val="2"/>
            <w:vMerge w:val="restart"/>
            <w:tcBorders>
              <w:top w:val="single" w:color="auto" w:sz="4" w:space="0"/>
              <w:left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评审内容</w:t>
            </w:r>
          </w:p>
        </w:tc>
        <w:tc>
          <w:tcPr>
            <w:tcW w:w="5129" w:type="dxa"/>
            <w:vMerge w:val="restart"/>
            <w:tcBorders>
              <w:top w:val="single" w:color="auto" w:sz="4" w:space="0"/>
              <w:left w:val="nil"/>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评审标准</w:t>
            </w:r>
          </w:p>
        </w:tc>
        <w:tc>
          <w:tcPr>
            <w:tcW w:w="977" w:type="dxa"/>
            <w:vMerge w:val="restart"/>
            <w:tcBorders>
              <w:top w:val="single" w:color="auto" w:sz="4" w:space="0"/>
              <w:left w:val="nil"/>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基准价</w:t>
            </w:r>
          </w:p>
        </w:tc>
        <w:tc>
          <w:tcPr>
            <w:tcW w:w="1494" w:type="dxa"/>
            <w:gridSpan w:val="2"/>
            <w:tcBorders>
              <w:top w:val="single" w:color="auto" w:sz="4" w:space="0"/>
              <w:left w:val="nil"/>
              <w:right w:val="nil"/>
            </w:tcBorders>
            <w:noWrap w:val="0"/>
            <w:vAlign w:val="top"/>
          </w:tcPr>
          <w:p>
            <w:pPr>
              <w:widowControl/>
              <w:spacing w:line="360" w:lineRule="auto"/>
              <w:jc w:val="center"/>
              <w:rPr>
                <w:rFonts w:hint="eastAsia" w:ascii="宋体" w:hAnsi="宋体" w:cs="宋体"/>
                <w:b/>
                <w:bCs/>
                <w:kern w:val="0"/>
                <w:szCs w:val="21"/>
                <w:highlight w:val="none"/>
              </w:rPr>
            </w:pPr>
          </w:p>
        </w:tc>
        <w:tc>
          <w:tcPr>
            <w:tcW w:w="4427" w:type="dxa"/>
            <w:gridSpan w:val="3"/>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参选人名称</w:t>
            </w:r>
          </w:p>
        </w:tc>
      </w:tr>
      <w:tr>
        <w:tblPrEx>
          <w:tblCellMar>
            <w:top w:w="0" w:type="dxa"/>
            <w:left w:w="0" w:type="dxa"/>
            <w:bottom w:w="0" w:type="dxa"/>
            <w:right w:w="0" w:type="dxa"/>
          </w:tblCellMar>
        </w:tblPrEx>
        <w:trPr>
          <w:trHeight w:val="261" w:hRule="atLeast"/>
          <w:jc w:val="center"/>
        </w:trPr>
        <w:tc>
          <w:tcPr>
            <w:tcW w:w="610" w:type="dxa"/>
            <w:vMerge w:val="continue"/>
            <w:tcBorders>
              <w:left w:val="single" w:color="auto" w:sz="8" w:space="0"/>
              <w:bottom w:val="single" w:color="auto" w:sz="4" w:space="0"/>
              <w:right w:val="single" w:color="auto" w:sz="4" w:space="0"/>
            </w:tcBorders>
            <w:noWrap w:val="0"/>
            <w:vAlign w:val="center"/>
          </w:tcPr>
          <w:p>
            <w:pPr>
              <w:widowControl/>
              <w:spacing w:line="360" w:lineRule="auto"/>
              <w:jc w:val="center"/>
              <w:rPr>
                <w:highlight w:val="none"/>
              </w:rPr>
            </w:pPr>
          </w:p>
        </w:tc>
        <w:tc>
          <w:tcPr>
            <w:tcW w:w="1074" w:type="dxa"/>
            <w:gridSpan w:val="2"/>
            <w:vMerge w:val="continue"/>
            <w:tcBorders>
              <w:left w:val="single" w:color="auto" w:sz="4" w:space="0"/>
              <w:bottom w:val="single" w:color="auto" w:sz="4" w:space="0"/>
              <w:right w:val="single" w:color="auto" w:sz="4" w:space="0"/>
            </w:tcBorders>
            <w:noWrap w:val="0"/>
            <w:vAlign w:val="center"/>
          </w:tcPr>
          <w:p>
            <w:pPr>
              <w:widowControl/>
              <w:spacing w:line="360" w:lineRule="auto"/>
              <w:jc w:val="center"/>
              <w:rPr>
                <w:highlight w:val="none"/>
              </w:rPr>
            </w:pPr>
          </w:p>
        </w:tc>
        <w:tc>
          <w:tcPr>
            <w:tcW w:w="5129" w:type="dxa"/>
            <w:vMerge w:val="continue"/>
            <w:tcBorders>
              <w:left w:val="nil"/>
              <w:bottom w:val="single" w:color="auto" w:sz="4" w:space="0"/>
              <w:right w:val="single" w:color="auto" w:sz="4" w:space="0"/>
            </w:tcBorders>
            <w:noWrap w:val="0"/>
            <w:vAlign w:val="center"/>
          </w:tcPr>
          <w:p>
            <w:pPr>
              <w:widowControl/>
              <w:spacing w:line="360" w:lineRule="auto"/>
              <w:jc w:val="center"/>
              <w:rPr>
                <w:highlight w:val="none"/>
              </w:rPr>
            </w:pPr>
          </w:p>
        </w:tc>
        <w:tc>
          <w:tcPr>
            <w:tcW w:w="977" w:type="dxa"/>
            <w:vMerge w:val="continue"/>
            <w:tcBorders>
              <w:left w:val="nil"/>
              <w:bottom w:val="single" w:color="auto" w:sz="4" w:space="0"/>
              <w:right w:val="single" w:color="auto" w:sz="4" w:space="0"/>
            </w:tcBorders>
            <w:noWrap w:val="0"/>
            <w:vAlign w:val="center"/>
          </w:tcPr>
          <w:p>
            <w:pPr>
              <w:widowControl/>
              <w:spacing w:line="360" w:lineRule="auto"/>
              <w:jc w:val="center"/>
              <w:rPr>
                <w:highlight w:val="none"/>
              </w:rPr>
            </w:pPr>
          </w:p>
        </w:tc>
        <w:tc>
          <w:tcPr>
            <w:tcW w:w="1466"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c>
          <w:tcPr>
            <w:tcW w:w="1494" w:type="dxa"/>
            <w:tcBorders>
              <w:top w:val="single" w:color="auto" w:sz="4" w:space="0"/>
              <w:left w:val="nil"/>
              <w:bottom w:val="single" w:color="auto" w:sz="4" w:space="0"/>
              <w:right w:val="single" w:color="auto" w:sz="4" w:space="0"/>
            </w:tcBorders>
            <w:noWrap w:val="0"/>
            <w:vAlign w:val="top"/>
          </w:tcPr>
          <w:p>
            <w:pPr>
              <w:widowControl/>
              <w:spacing w:line="360" w:lineRule="auto"/>
              <w:jc w:val="center"/>
              <w:rPr>
                <w:rFonts w:hint="eastAsia" w:ascii="宋体" w:hAnsi="宋体" w:cs="宋体"/>
                <w:b/>
                <w:bCs/>
                <w:kern w:val="0"/>
                <w:szCs w:val="21"/>
                <w:highlight w:val="none"/>
              </w:rPr>
            </w:pPr>
          </w:p>
        </w:tc>
        <w:tc>
          <w:tcPr>
            <w:tcW w:w="149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宋体" w:hAnsi="宋体" w:cs="宋体"/>
                <w:b/>
                <w:bCs/>
                <w:kern w:val="0"/>
                <w:szCs w:val="21"/>
                <w:highlight w:val="none"/>
              </w:rPr>
            </w:pPr>
          </w:p>
        </w:tc>
      </w:tr>
      <w:tr>
        <w:tblPrEx>
          <w:tblCellMar>
            <w:top w:w="0" w:type="dxa"/>
            <w:left w:w="0" w:type="dxa"/>
            <w:bottom w:w="0" w:type="dxa"/>
            <w:right w:w="0" w:type="dxa"/>
          </w:tblCellMar>
        </w:tblPrEx>
        <w:trPr>
          <w:trHeight w:val="2209" w:hRule="atLeast"/>
          <w:jc w:val="center"/>
        </w:trPr>
        <w:tc>
          <w:tcPr>
            <w:tcW w:w="610" w:type="dxa"/>
            <w:tcBorders>
              <w:top w:val="nil"/>
              <w:left w:val="single" w:color="auto" w:sz="8"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1</w:t>
            </w:r>
          </w:p>
        </w:tc>
        <w:tc>
          <w:tcPr>
            <w:tcW w:w="1074" w:type="dxa"/>
            <w:gridSpan w:val="2"/>
            <w:tcBorders>
              <w:top w:val="nil"/>
              <w:left w:val="single" w:color="auto" w:sz="4" w:space="0"/>
              <w:bottom w:val="single" w:color="auto" w:sz="4" w:space="0"/>
              <w:right w:val="single" w:color="000000" w:sz="4" w:space="0"/>
            </w:tcBorders>
            <w:noWrap w:val="0"/>
            <w:vAlign w:val="center"/>
          </w:tcPr>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报 价</w:t>
            </w:r>
          </w:p>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（万元）</w:t>
            </w:r>
          </w:p>
        </w:tc>
        <w:tc>
          <w:tcPr>
            <w:tcW w:w="5129" w:type="dxa"/>
            <w:vMerge w:val="restart"/>
            <w:tcBorders>
              <w:top w:val="nil"/>
              <w:left w:val="single" w:color="auto" w:sz="4" w:space="0"/>
              <w:right w:val="single" w:color="auto" w:sz="4" w:space="0"/>
            </w:tcBorders>
            <w:noWrap w:val="0"/>
            <w:vAlign w:val="center"/>
          </w:tcPr>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（1）商务标根据参选人所报的报价评分。</w:t>
            </w:r>
          </w:p>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2）商务分的确定：以进入商务标环节的所有参选人所报的服务费次低价为基准价且为满分50分，若进入商务标环节的参选人数仅3家，则以最低价为基准价且为满分。若次低价同时为次高价或最高价，则以最低价为基准价且为满分，按下列公式计算：</w:t>
            </w:r>
          </w:p>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 xml:space="preserve">Fn=（50-50×│Sn-Sj│/Sj） </w:t>
            </w:r>
          </w:p>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其中：Fn— 第n参选人的商务得分（</w:t>
            </w:r>
            <w:r>
              <w:rPr>
                <w:highlight w:val="none"/>
              </w:rPr>
              <w:t>若计算所得Fn ≤0，则该参选人的商务得分定为0分</w:t>
            </w:r>
            <w:r>
              <w:rPr>
                <w:rFonts w:hint="eastAsia" w:ascii="宋体" w:hAnsi="宋体" w:cs="宋体"/>
                <w:szCs w:val="21"/>
                <w:highlight w:val="none"/>
              </w:rPr>
              <w:t>）</w:t>
            </w:r>
          </w:p>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Sn— 第n 参选人的服务费</w:t>
            </w:r>
          </w:p>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Sj— 所有参选人所报的服务费基准价</w:t>
            </w:r>
          </w:p>
        </w:tc>
        <w:tc>
          <w:tcPr>
            <w:tcW w:w="977" w:type="dxa"/>
            <w:tcBorders>
              <w:top w:val="nil"/>
              <w:left w:val="single" w:color="auto" w:sz="4" w:space="0"/>
              <w:bottom w:val="single" w:color="auto" w:sz="4" w:space="0"/>
              <w:right w:val="single" w:color="auto" w:sz="4" w:space="0"/>
            </w:tcBorders>
            <w:noWrap w:val="0"/>
            <w:vAlign w:val="top"/>
          </w:tcPr>
          <w:p>
            <w:pPr>
              <w:widowControl/>
              <w:adjustRightInd w:val="0"/>
              <w:snapToGrid w:val="0"/>
              <w:spacing w:line="360" w:lineRule="auto"/>
              <w:jc w:val="left"/>
              <w:rPr>
                <w:rFonts w:hint="eastAsia" w:ascii="宋体" w:hAnsi="宋体" w:cs="宋体"/>
                <w:szCs w:val="21"/>
                <w:highlight w:val="none"/>
              </w:rPr>
            </w:pPr>
          </w:p>
        </w:tc>
        <w:tc>
          <w:tcPr>
            <w:tcW w:w="1466" w:type="dxa"/>
            <w:tcBorders>
              <w:top w:val="nil"/>
              <w:left w:val="single" w:color="auto" w:sz="4" w:space="0"/>
              <w:bottom w:val="single" w:color="auto" w:sz="4" w:space="0"/>
              <w:right w:val="single" w:color="auto" w:sz="4" w:space="0"/>
            </w:tcBorders>
            <w:noWrap w:val="0"/>
            <w:vAlign w:val="top"/>
          </w:tcPr>
          <w:p>
            <w:pPr>
              <w:widowControl/>
              <w:adjustRightInd w:val="0"/>
              <w:snapToGrid w:val="0"/>
              <w:spacing w:line="360" w:lineRule="auto"/>
              <w:jc w:val="left"/>
              <w:rPr>
                <w:rFonts w:hint="eastAsia" w:ascii="宋体" w:hAnsi="宋体" w:cs="宋体"/>
                <w:szCs w:val="21"/>
                <w:highlight w:val="none"/>
              </w:rPr>
            </w:pPr>
          </w:p>
        </w:tc>
        <w:tc>
          <w:tcPr>
            <w:tcW w:w="1466" w:type="dxa"/>
            <w:gridSpan w:val="2"/>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p>
        </w:tc>
        <w:tc>
          <w:tcPr>
            <w:tcW w:w="1494" w:type="dxa"/>
            <w:tcBorders>
              <w:top w:val="nil"/>
              <w:left w:val="single" w:color="auto" w:sz="4" w:space="0"/>
              <w:bottom w:val="single" w:color="auto" w:sz="4" w:space="0"/>
              <w:right w:val="single" w:color="auto" w:sz="4" w:space="0"/>
            </w:tcBorders>
            <w:noWrap w:val="0"/>
            <w:vAlign w:val="top"/>
          </w:tcPr>
          <w:p>
            <w:pPr>
              <w:widowControl/>
              <w:adjustRightInd w:val="0"/>
              <w:snapToGrid w:val="0"/>
              <w:spacing w:line="360" w:lineRule="auto"/>
              <w:jc w:val="left"/>
              <w:rPr>
                <w:rFonts w:hint="eastAsia" w:ascii="宋体" w:hAnsi="宋体" w:cs="宋体"/>
                <w:szCs w:val="21"/>
                <w:highlight w:val="none"/>
              </w:rPr>
            </w:pPr>
          </w:p>
        </w:tc>
        <w:tc>
          <w:tcPr>
            <w:tcW w:w="1494"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p>
        </w:tc>
      </w:tr>
      <w:tr>
        <w:tblPrEx>
          <w:tblCellMar>
            <w:top w:w="0" w:type="dxa"/>
            <w:left w:w="0" w:type="dxa"/>
            <w:bottom w:w="0" w:type="dxa"/>
            <w:right w:w="0" w:type="dxa"/>
          </w:tblCellMar>
        </w:tblPrEx>
        <w:trPr>
          <w:trHeight w:val="3055" w:hRule="atLeast"/>
          <w:jc w:val="center"/>
        </w:trPr>
        <w:tc>
          <w:tcPr>
            <w:tcW w:w="610" w:type="dxa"/>
            <w:tcBorders>
              <w:top w:val="nil"/>
              <w:left w:val="single" w:color="auto" w:sz="8"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2</w:t>
            </w:r>
          </w:p>
        </w:tc>
        <w:tc>
          <w:tcPr>
            <w:tcW w:w="1074" w:type="dxa"/>
            <w:gridSpan w:val="2"/>
            <w:tcBorders>
              <w:top w:val="nil"/>
              <w:left w:val="single" w:color="auto" w:sz="4" w:space="0"/>
              <w:bottom w:val="single" w:color="auto" w:sz="4" w:space="0"/>
              <w:right w:val="single" w:color="000000" w:sz="4" w:space="0"/>
            </w:tcBorders>
            <w:noWrap w:val="0"/>
            <w:vAlign w:val="center"/>
          </w:tcPr>
          <w:p>
            <w:pPr>
              <w:adjustRightInd w:val="0"/>
              <w:snapToGrid w:val="0"/>
              <w:spacing w:line="360" w:lineRule="auto"/>
              <w:jc w:val="left"/>
              <w:rPr>
                <w:rFonts w:hint="eastAsia" w:ascii="宋体" w:hAnsi="宋体" w:cs="宋体"/>
                <w:szCs w:val="21"/>
                <w:highlight w:val="none"/>
              </w:rPr>
            </w:pPr>
            <w:r>
              <w:rPr>
                <w:rFonts w:hint="eastAsia" w:ascii="宋体" w:hAnsi="宋体" w:cs="宋体"/>
                <w:szCs w:val="21"/>
                <w:highlight w:val="none"/>
              </w:rPr>
              <w:t>得分</w:t>
            </w:r>
          </w:p>
          <w:p>
            <w:pPr>
              <w:adjustRightInd w:val="0"/>
              <w:snapToGrid w:val="0"/>
              <w:spacing w:line="360" w:lineRule="auto"/>
              <w:jc w:val="left"/>
              <w:rPr>
                <w:rFonts w:hint="eastAsia" w:ascii="宋体" w:hAnsi="宋体" w:cs="宋体"/>
                <w:szCs w:val="21"/>
                <w:highlight w:val="none"/>
              </w:rPr>
            </w:pPr>
          </w:p>
        </w:tc>
        <w:tc>
          <w:tcPr>
            <w:tcW w:w="5129"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p>
        </w:tc>
        <w:tc>
          <w:tcPr>
            <w:tcW w:w="977" w:type="dxa"/>
            <w:tcBorders>
              <w:top w:val="nil"/>
              <w:left w:val="single" w:color="auto" w:sz="4" w:space="0"/>
              <w:bottom w:val="single" w:color="auto" w:sz="4" w:space="0"/>
              <w:right w:val="single" w:color="auto" w:sz="4" w:space="0"/>
            </w:tcBorders>
            <w:noWrap w:val="0"/>
            <w:vAlign w:val="top"/>
          </w:tcPr>
          <w:p>
            <w:pPr>
              <w:widowControl/>
              <w:adjustRightInd w:val="0"/>
              <w:snapToGrid w:val="0"/>
              <w:spacing w:line="360" w:lineRule="auto"/>
              <w:jc w:val="left"/>
              <w:rPr>
                <w:rFonts w:hint="eastAsia" w:ascii="宋体" w:hAnsi="宋体" w:cs="宋体"/>
                <w:szCs w:val="21"/>
                <w:highlight w:val="none"/>
              </w:rPr>
            </w:pPr>
          </w:p>
        </w:tc>
        <w:tc>
          <w:tcPr>
            <w:tcW w:w="1466" w:type="dxa"/>
            <w:tcBorders>
              <w:top w:val="nil"/>
              <w:left w:val="single" w:color="auto" w:sz="4" w:space="0"/>
              <w:bottom w:val="single" w:color="auto" w:sz="4" w:space="0"/>
              <w:right w:val="single" w:color="auto" w:sz="4" w:space="0"/>
            </w:tcBorders>
            <w:noWrap w:val="0"/>
            <w:vAlign w:val="top"/>
          </w:tcPr>
          <w:p>
            <w:pPr>
              <w:widowControl/>
              <w:adjustRightInd w:val="0"/>
              <w:snapToGrid w:val="0"/>
              <w:spacing w:line="360" w:lineRule="auto"/>
              <w:rPr>
                <w:rFonts w:hint="eastAsia" w:ascii="宋体" w:hAnsi="宋体" w:cs="宋体"/>
                <w:szCs w:val="21"/>
                <w:highlight w:val="none"/>
              </w:rPr>
            </w:pPr>
          </w:p>
        </w:tc>
        <w:tc>
          <w:tcPr>
            <w:tcW w:w="1466" w:type="dxa"/>
            <w:gridSpan w:val="2"/>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p>
        </w:tc>
        <w:tc>
          <w:tcPr>
            <w:tcW w:w="1494" w:type="dxa"/>
            <w:tcBorders>
              <w:top w:val="nil"/>
              <w:left w:val="single" w:color="auto" w:sz="4" w:space="0"/>
              <w:bottom w:val="single" w:color="auto" w:sz="4" w:space="0"/>
              <w:right w:val="single" w:color="auto" w:sz="4" w:space="0"/>
            </w:tcBorders>
            <w:noWrap w:val="0"/>
            <w:vAlign w:val="top"/>
          </w:tcPr>
          <w:p>
            <w:pPr>
              <w:widowControl/>
              <w:adjustRightInd w:val="0"/>
              <w:snapToGrid w:val="0"/>
              <w:spacing w:line="360" w:lineRule="auto"/>
              <w:jc w:val="left"/>
              <w:rPr>
                <w:rFonts w:hint="eastAsia" w:ascii="宋体" w:hAnsi="宋体" w:cs="宋体"/>
                <w:szCs w:val="21"/>
                <w:highlight w:val="none"/>
              </w:rPr>
            </w:pPr>
          </w:p>
        </w:tc>
        <w:tc>
          <w:tcPr>
            <w:tcW w:w="1494" w:type="dxa"/>
            <w:tcBorders>
              <w:top w:val="nil"/>
              <w:left w:val="single" w:color="auto" w:sz="4" w:space="0"/>
              <w:bottom w:val="single" w:color="auto" w:sz="4" w:space="0"/>
              <w:right w:val="single" w:color="auto" w:sz="4" w:space="0"/>
            </w:tcBorders>
            <w:noWrap w:val="0"/>
            <w:vAlign w:val="center"/>
          </w:tcPr>
          <w:p>
            <w:pPr>
              <w:widowControl/>
              <w:adjustRightInd w:val="0"/>
              <w:snapToGrid w:val="0"/>
              <w:spacing w:line="360" w:lineRule="auto"/>
              <w:jc w:val="left"/>
              <w:rPr>
                <w:rFonts w:hint="eastAsia" w:ascii="宋体" w:hAnsi="宋体" w:cs="宋体"/>
                <w:szCs w:val="21"/>
                <w:highlight w:val="none"/>
              </w:rPr>
            </w:pPr>
          </w:p>
        </w:tc>
      </w:tr>
    </w:tbl>
    <w:p>
      <w:pPr>
        <w:adjustRightInd w:val="0"/>
        <w:snapToGrid w:val="0"/>
        <w:spacing w:line="360" w:lineRule="auto"/>
        <w:jc w:val="left"/>
        <w:rPr>
          <w:rFonts w:hint="eastAsia" w:ascii="宋体" w:hAnsi="宋体" w:cs="宋体"/>
          <w:b/>
          <w:bCs/>
          <w:kern w:val="0"/>
          <w:szCs w:val="21"/>
          <w:highlight w:val="none"/>
        </w:rPr>
      </w:pPr>
      <w:r>
        <w:rPr>
          <w:rFonts w:hint="eastAsia" w:ascii="宋体" w:hAnsi="宋体" w:cs="宋体"/>
          <w:szCs w:val="21"/>
          <w:highlight w:val="none"/>
        </w:rPr>
        <w:t>注：商务标得分的算术平均值保留小数点后两位数字，且四舍五入。</w:t>
      </w:r>
    </w:p>
    <w:p>
      <w:pPr>
        <w:widowControl/>
        <w:spacing w:line="360" w:lineRule="auto"/>
        <w:rPr>
          <w:rFonts w:hint="eastAsia" w:ascii="宋体" w:hAnsi="宋体" w:cs="宋体"/>
          <w:b/>
          <w:bCs/>
          <w:kern w:val="0"/>
          <w:szCs w:val="21"/>
          <w:highlight w:val="none"/>
        </w:rPr>
      </w:pPr>
      <w:r>
        <w:rPr>
          <w:rFonts w:hint="eastAsia" w:ascii="宋体" w:hAnsi="宋体" w:cs="宋体"/>
          <w:b/>
          <w:szCs w:val="21"/>
          <w:highlight w:val="none"/>
        </w:rPr>
        <w:t xml:space="preserve">评委（签名）： </w:t>
      </w:r>
    </w:p>
    <w:p>
      <w:pPr>
        <w:widowControl/>
        <w:spacing w:line="360" w:lineRule="auto"/>
        <w:jc w:val="left"/>
        <w:rPr>
          <w:rFonts w:ascii="宋体" w:hAnsi="宋体"/>
          <w:b/>
          <w:sz w:val="24"/>
          <w:szCs w:val="24"/>
          <w:highlight w:val="none"/>
        </w:rPr>
      </w:pPr>
      <w:r>
        <w:rPr>
          <w:rFonts w:hint="eastAsia" w:ascii="宋体" w:hAnsi="宋体" w:cs="宋体"/>
          <w:b/>
          <w:szCs w:val="21"/>
          <w:highlight w:val="none"/>
        </w:rPr>
        <w:t>监督（签名）：                                                                             日期：</w:t>
      </w:r>
      <w:r>
        <w:rPr>
          <w:rFonts w:hint="eastAsia" w:ascii="宋体" w:hAnsi="宋体" w:cs="宋体"/>
          <w:szCs w:val="21"/>
          <w:highlight w:val="none"/>
        </w:rPr>
        <w:t xml:space="preserve">     年    月    日</w:t>
      </w:r>
    </w:p>
    <w:p>
      <w:pPr>
        <w:widowControl/>
        <w:spacing w:line="360" w:lineRule="auto"/>
        <w:jc w:val="left"/>
        <w:rPr>
          <w:rFonts w:hint="eastAsia" w:ascii="宋体" w:hAnsi="宋体"/>
          <w:b/>
          <w:sz w:val="24"/>
          <w:szCs w:val="24"/>
          <w:highlight w:val="none"/>
        </w:rPr>
      </w:pPr>
    </w:p>
    <w:p>
      <w:pPr>
        <w:widowControl/>
        <w:spacing w:line="360" w:lineRule="auto"/>
        <w:jc w:val="left"/>
        <w:rPr>
          <w:rFonts w:hint="eastAsia" w:ascii="宋体" w:hAnsi="宋体"/>
          <w:b/>
          <w:sz w:val="24"/>
          <w:szCs w:val="24"/>
          <w:highlight w:val="none"/>
        </w:rPr>
      </w:pPr>
    </w:p>
    <w:p>
      <w:pPr>
        <w:widowControl/>
        <w:spacing w:line="360" w:lineRule="auto"/>
        <w:jc w:val="left"/>
        <w:rPr>
          <w:rFonts w:ascii="宋体" w:hAnsi="宋体" w:cs="宋体"/>
          <w:b/>
          <w:bCs/>
          <w:kern w:val="0"/>
          <w:sz w:val="24"/>
          <w:szCs w:val="24"/>
          <w:highlight w:val="none"/>
        </w:rPr>
      </w:pPr>
      <w:r>
        <w:rPr>
          <w:rFonts w:hint="eastAsia" w:ascii="宋体" w:hAnsi="宋体"/>
          <w:b/>
          <w:sz w:val="24"/>
          <w:szCs w:val="24"/>
          <w:highlight w:val="none"/>
        </w:rPr>
        <w:t>附表8：最终得分结果汇总表</w:t>
      </w:r>
    </w:p>
    <w:p>
      <w:pPr>
        <w:widowControl/>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最终得分结果汇总表</w:t>
      </w:r>
    </w:p>
    <w:p>
      <w:pPr>
        <w:widowControl/>
        <w:overflowPunct w:val="0"/>
        <w:autoSpaceDE w:val="0"/>
        <w:autoSpaceDN w:val="0"/>
        <w:adjustRightInd w:val="0"/>
        <w:spacing w:line="360" w:lineRule="auto"/>
        <w:ind w:firstLine="454"/>
        <w:jc w:val="left"/>
        <w:textAlignment w:val="baseline"/>
        <w:rPr>
          <w:rFonts w:hint="eastAsia" w:ascii="宋体" w:hAnsi="宋体" w:cs="宋体"/>
          <w:b/>
          <w:bCs/>
          <w:snapToGrid w:val="0"/>
          <w:kern w:val="0"/>
          <w:szCs w:val="21"/>
          <w:highlight w:val="none"/>
        </w:rPr>
      </w:pPr>
      <w:r>
        <w:rPr>
          <w:rFonts w:hint="eastAsia" w:ascii="宋体" w:hAnsi="宋体" w:cs="宋体"/>
          <w:b/>
          <w:bCs/>
          <w:snapToGrid w:val="0"/>
          <w:szCs w:val="21"/>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b/>
          <w:bCs/>
          <w:snapToGrid w:val="0"/>
          <w:sz w:val="24"/>
          <w:szCs w:val="24"/>
          <w:highlight w:val="none"/>
        </w:rPr>
        <w:t>服务</w:t>
      </w:r>
    </w:p>
    <w:tbl>
      <w:tblPr>
        <w:tblStyle w:val="47"/>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序号</w:t>
            </w:r>
          </w:p>
        </w:tc>
        <w:tc>
          <w:tcPr>
            <w:tcW w:w="4185" w:type="dxa"/>
            <w:tcBorders>
              <w:top w:val="single" w:color="auto" w:sz="4" w:space="0"/>
              <w:left w:val="nil"/>
              <w:bottom w:val="single" w:color="auto" w:sz="4" w:space="0"/>
              <w:right w:val="single" w:color="auto" w:sz="4"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参选人</w:t>
            </w:r>
          </w:p>
        </w:tc>
        <w:tc>
          <w:tcPr>
            <w:tcW w:w="2305" w:type="dxa"/>
            <w:tcBorders>
              <w:top w:val="single" w:color="auto" w:sz="4" w:space="0"/>
              <w:left w:val="single" w:color="auto" w:sz="4" w:space="0"/>
              <w:bottom w:val="single" w:color="auto" w:sz="4" w:space="0"/>
              <w:right w:val="nil"/>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En</w:t>
            </w:r>
          </w:p>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（技术标得分）</w:t>
            </w:r>
          </w:p>
        </w:tc>
        <w:tc>
          <w:tcPr>
            <w:tcW w:w="2405" w:type="dxa"/>
            <w:tcBorders>
              <w:top w:val="single" w:color="auto" w:sz="4" w:space="0"/>
              <w:left w:val="single" w:color="auto" w:sz="4" w:space="0"/>
              <w:bottom w:val="single" w:color="auto" w:sz="4" w:space="0"/>
              <w:right w:val="nil"/>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Fn</w:t>
            </w:r>
          </w:p>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（商务标得分）</w:t>
            </w:r>
          </w:p>
        </w:tc>
        <w:tc>
          <w:tcPr>
            <w:tcW w:w="19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An</w:t>
            </w:r>
          </w:p>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（最终得分）</w:t>
            </w:r>
          </w:p>
        </w:tc>
        <w:tc>
          <w:tcPr>
            <w:tcW w:w="2735" w:type="dxa"/>
            <w:tcBorders>
              <w:top w:val="single" w:color="auto" w:sz="4" w:space="0"/>
              <w:left w:val="nil"/>
              <w:bottom w:val="single" w:color="auto" w:sz="4" w:space="0"/>
              <w:right w:val="single" w:color="auto" w:sz="4"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4185" w:type="dxa"/>
            <w:tcBorders>
              <w:top w:val="single" w:color="auto" w:sz="4" w:space="0"/>
              <w:left w:val="nil"/>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7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An=En+Fn</w:t>
            </w:r>
          </w:p>
          <w:p>
            <w:pPr>
              <w:spacing w:line="360" w:lineRule="auto"/>
              <w:jc w:val="center"/>
              <w:rPr>
                <w:rFonts w:hint="eastAsia" w:ascii="宋体" w:hAnsi="宋体" w:cs="宋体"/>
                <w:szCs w:val="21"/>
                <w:highlight w:val="none"/>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4185" w:type="dxa"/>
            <w:tcBorders>
              <w:top w:val="single" w:color="auto" w:sz="4" w:space="0"/>
              <w:left w:val="nil"/>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4185" w:type="dxa"/>
            <w:tcBorders>
              <w:top w:val="single" w:color="auto" w:sz="4" w:space="0"/>
              <w:left w:val="nil"/>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4185" w:type="dxa"/>
            <w:tcBorders>
              <w:top w:val="single" w:color="auto" w:sz="4" w:space="0"/>
              <w:left w:val="nil"/>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noWrap w:val="0"/>
            <w:vAlign w:val="center"/>
          </w:tcPr>
          <w:p>
            <w:pPr>
              <w:spacing w:line="360" w:lineRule="auto"/>
              <w:jc w:val="left"/>
              <w:rPr>
                <w:rFonts w:hint="eastAsia"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cs="宋体"/>
                <w:szCs w:val="21"/>
                <w:highlight w:val="none"/>
              </w:rPr>
            </w:pPr>
          </w:p>
        </w:tc>
      </w:tr>
    </w:tbl>
    <w:p>
      <w:pPr>
        <w:spacing w:line="360" w:lineRule="auto"/>
        <w:rPr>
          <w:rFonts w:hint="eastAsia"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注：最终得分保留小数点后两位数字，且四舍五入。</w:t>
      </w:r>
    </w:p>
    <w:p>
      <w:pPr>
        <w:spacing w:line="360" w:lineRule="auto"/>
        <w:rPr>
          <w:rFonts w:hint="eastAsia" w:ascii="宋体" w:hAnsi="宋体" w:cs="宋体"/>
          <w:kern w:val="0"/>
          <w:szCs w:val="21"/>
          <w:highlight w:val="none"/>
        </w:rPr>
      </w:pPr>
    </w:p>
    <w:p>
      <w:pPr>
        <w:widowControl/>
        <w:spacing w:line="360" w:lineRule="auto"/>
        <w:rPr>
          <w:rFonts w:hint="eastAsia" w:ascii="宋体" w:hAnsi="宋体" w:cs="宋体"/>
          <w:b/>
          <w:szCs w:val="21"/>
          <w:highlight w:val="none"/>
        </w:rPr>
      </w:pPr>
      <w:r>
        <w:rPr>
          <w:rFonts w:hint="eastAsia" w:ascii="宋体" w:hAnsi="宋体" w:cs="宋体"/>
          <w:b/>
          <w:szCs w:val="21"/>
          <w:highlight w:val="none"/>
        </w:rPr>
        <w:t>评委（签名）：</w:t>
      </w:r>
    </w:p>
    <w:p>
      <w:pPr>
        <w:widowControl/>
        <w:spacing w:line="360" w:lineRule="auto"/>
        <w:rPr>
          <w:rFonts w:hint="eastAsia" w:ascii="宋体" w:hAnsi="宋体" w:cs="宋体"/>
          <w:b/>
          <w:szCs w:val="21"/>
          <w:highlight w:val="none"/>
        </w:rPr>
      </w:pPr>
    </w:p>
    <w:p>
      <w:pPr>
        <w:widowControl/>
        <w:spacing w:line="360" w:lineRule="auto"/>
        <w:rPr>
          <w:rFonts w:hint="eastAsia" w:ascii="宋体" w:hAnsi="宋体" w:cs="宋体"/>
          <w:b/>
          <w:szCs w:val="21"/>
          <w:highlight w:val="none"/>
        </w:rPr>
      </w:pPr>
      <w:r>
        <w:rPr>
          <w:rFonts w:hint="eastAsia" w:ascii="宋体" w:hAnsi="宋体" w:cs="宋体"/>
          <w:b/>
          <w:szCs w:val="21"/>
          <w:highlight w:val="none"/>
        </w:rPr>
        <w:t>监督（签名）：</w:t>
      </w:r>
    </w:p>
    <w:p>
      <w:pPr>
        <w:widowControl/>
        <w:spacing w:line="360" w:lineRule="auto"/>
        <w:jc w:val="right"/>
        <w:rPr>
          <w:rFonts w:hint="eastAsia" w:ascii="宋体" w:hAnsi="宋体" w:cs="宋体"/>
          <w:b/>
          <w:bCs/>
          <w:kern w:val="0"/>
          <w:szCs w:val="21"/>
          <w:highlight w:val="none"/>
        </w:rPr>
        <w:sectPr>
          <w:pgSz w:w="16840" w:h="11907" w:orient="landscape"/>
          <w:pgMar w:top="1440" w:right="1440" w:bottom="1134" w:left="1440" w:header="720" w:footer="890" w:gutter="0"/>
          <w:cols w:space="720" w:num="1"/>
          <w:docGrid w:linePitch="312" w:charSpace="0"/>
        </w:sectPr>
      </w:pPr>
      <w:r>
        <w:rPr>
          <w:rFonts w:hint="eastAsia" w:ascii="宋体" w:hAnsi="宋体" w:cs="宋体"/>
          <w:b/>
          <w:szCs w:val="21"/>
          <w:highlight w:val="none"/>
        </w:rPr>
        <w:t>日期：</w:t>
      </w:r>
      <w:r>
        <w:rPr>
          <w:rFonts w:hint="eastAsia" w:ascii="宋体" w:hAnsi="宋体" w:cs="宋体"/>
          <w:szCs w:val="21"/>
          <w:highlight w:val="none"/>
        </w:rPr>
        <w:t xml:space="preserve">     年    月    日</w:t>
      </w:r>
    </w:p>
    <w:tbl>
      <w:tblPr>
        <w:tblStyle w:val="47"/>
        <w:tblW w:w="9275" w:type="dxa"/>
        <w:tblInd w:w="78" w:type="dxa"/>
        <w:tblLayout w:type="fixed"/>
        <w:tblCellMar>
          <w:top w:w="0" w:type="dxa"/>
          <w:left w:w="0" w:type="dxa"/>
          <w:bottom w:w="0" w:type="dxa"/>
          <w:right w:w="0" w:type="dxa"/>
        </w:tblCellMar>
      </w:tblPr>
      <w:tblGrid>
        <w:gridCol w:w="776"/>
        <w:gridCol w:w="2781"/>
        <w:gridCol w:w="1072"/>
        <w:gridCol w:w="1634"/>
        <w:gridCol w:w="3012"/>
      </w:tblGrid>
      <w:tr>
        <w:tblPrEx>
          <w:tblCellMar>
            <w:top w:w="0" w:type="dxa"/>
            <w:left w:w="0" w:type="dxa"/>
            <w:bottom w:w="0" w:type="dxa"/>
            <w:right w:w="0" w:type="dxa"/>
          </w:tblCellMar>
        </w:tblPrEx>
        <w:trPr>
          <w:trHeight w:val="1485" w:hRule="atLeast"/>
        </w:trPr>
        <w:tc>
          <w:tcPr>
            <w:tcW w:w="9275" w:type="dxa"/>
            <w:gridSpan w:val="5"/>
            <w:tcBorders>
              <w:top w:val="nil"/>
              <w:left w:val="nil"/>
              <w:bottom w:val="single" w:color="auto" w:sz="8" w:space="0"/>
              <w:right w:val="nil"/>
            </w:tcBorders>
            <w:noWrap w:val="0"/>
            <w:vAlign w:val="center"/>
          </w:tcPr>
          <w:p>
            <w:pPr>
              <w:widowControl/>
              <w:spacing w:line="360" w:lineRule="auto"/>
              <w:jc w:val="left"/>
              <w:rPr>
                <w:rFonts w:hint="eastAsia" w:ascii="宋体" w:hAnsi="宋体" w:cs="宋体"/>
                <w:b/>
                <w:bCs/>
                <w:kern w:val="0"/>
                <w:sz w:val="24"/>
                <w:szCs w:val="24"/>
                <w:highlight w:val="none"/>
              </w:rPr>
            </w:pPr>
            <w:r>
              <w:rPr>
                <w:rFonts w:hint="eastAsia" w:ascii="宋体" w:hAnsi="宋体" w:cs="宋体"/>
                <w:b/>
                <w:sz w:val="24"/>
                <w:szCs w:val="24"/>
                <w:highlight w:val="none"/>
              </w:rPr>
              <w:t>附表9：参选人最终得分排序表</w:t>
            </w:r>
          </w:p>
          <w:p>
            <w:pPr>
              <w:widowControl/>
              <w:spacing w:line="360" w:lineRule="auto"/>
              <w:jc w:val="center"/>
              <w:rPr>
                <w:rFonts w:hint="eastAsia" w:ascii="宋体" w:hAnsi="宋体" w:cs="宋体"/>
                <w:b/>
                <w:bCs/>
                <w:kern w:val="0"/>
                <w:sz w:val="24"/>
                <w:szCs w:val="24"/>
                <w:highlight w:val="none"/>
              </w:rPr>
            </w:pPr>
          </w:p>
          <w:p>
            <w:pPr>
              <w:widowControl/>
              <w:spacing w:line="360" w:lineRule="auto"/>
              <w:jc w:val="center"/>
              <w:rPr>
                <w:rFonts w:hint="eastAsia" w:ascii="宋体" w:hAnsi="宋体" w:cs="宋体"/>
                <w:b/>
                <w:bCs/>
                <w:kern w:val="0"/>
                <w:sz w:val="24"/>
                <w:szCs w:val="24"/>
                <w:highlight w:val="none"/>
              </w:rPr>
            </w:pPr>
            <w:r>
              <w:rPr>
                <w:rFonts w:hint="eastAsia" w:ascii="宋体" w:hAnsi="宋体" w:cs="宋体"/>
                <w:b/>
                <w:bCs/>
                <w:kern w:val="0"/>
                <w:sz w:val="24"/>
                <w:szCs w:val="24"/>
                <w:highlight w:val="none"/>
              </w:rPr>
              <w:t>参选人最终得分排序表</w:t>
            </w:r>
          </w:p>
          <w:p>
            <w:pPr>
              <w:widowControl/>
              <w:spacing w:line="360" w:lineRule="auto"/>
              <w:jc w:val="center"/>
              <w:rPr>
                <w:rFonts w:hint="eastAsia" w:ascii="宋体" w:hAnsi="宋体" w:cs="宋体"/>
                <w:b/>
                <w:bCs/>
                <w:kern w:val="0"/>
                <w:szCs w:val="21"/>
                <w:highlight w:val="none"/>
              </w:rPr>
            </w:pPr>
          </w:p>
          <w:p>
            <w:pPr>
              <w:widowControl/>
              <w:spacing w:line="360" w:lineRule="auto"/>
              <w:jc w:val="left"/>
              <w:rPr>
                <w:rFonts w:hint="eastAsia" w:ascii="宋体" w:hAnsi="宋体" w:cs="宋体"/>
                <w:b/>
                <w:kern w:val="0"/>
                <w:szCs w:val="21"/>
                <w:highlight w:val="none"/>
              </w:rPr>
            </w:pPr>
            <w:r>
              <w:rPr>
                <w:rFonts w:hint="eastAsia" w:ascii="宋体" w:hAnsi="宋体" w:cs="宋体"/>
                <w:b/>
                <w:kern w:val="0"/>
                <w:szCs w:val="21"/>
                <w:highlight w:val="none"/>
              </w:rPr>
              <w:t>项目名称：</w:t>
            </w:r>
            <w:r>
              <w:rPr>
                <w:rFonts w:hint="eastAsia" w:ascii="宋体" w:hAnsi="宋体" w:eastAsia="宋体" w:cs="宋体"/>
                <w:b/>
                <w:kern w:val="0"/>
                <w:sz w:val="24"/>
                <w:szCs w:val="24"/>
                <w:highlight w:val="none"/>
              </w:rPr>
              <w:t>深铁瑞城系列营销活动与现场包装</w:t>
            </w:r>
            <w:r>
              <w:rPr>
                <w:rFonts w:hint="eastAsia" w:ascii="宋体" w:hAnsi="宋体"/>
                <w:b/>
                <w:bCs/>
                <w:snapToGrid w:val="0"/>
                <w:sz w:val="24"/>
                <w:szCs w:val="24"/>
                <w:highlight w:val="none"/>
              </w:rPr>
              <w:t>服务</w:t>
            </w:r>
          </w:p>
          <w:p>
            <w:pPr>
              <w:widowControl/>
              <w:spacing w:line="360" w:lineRule="auto"/>
              <w:jc w:val="right"/>
              <w:rPr>
                <w:rFonts w:hint="eastAsia" w:ascii="宋体" w:hAnsi="宋体" w:cs="宋体"/>
                <w:b/>
                <w:bCs/>
                <w:kern w:val="0"/>
                <w:szCs w:val="21"/>
                <w:highlight w:val="none"/>
              </w:rPr>
            </w:pPr>
            <w:r>
              <w:rPr>
                <w:rFonts w:hint="eastAsia" w:ascii="宋体" w:hAnsi="宋体" w:cs="宋体"/>
                <w:kern w:val="0"/>
                <w:szCs w:val="21"/>
                <w:highlight w:val="none"/>
              </w:rPr>
              <w:t>评审日期：       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序号</w:t>
            </w:r>
          </w:p>
        </w:tc>
        <w:tc>
          <w:tcPr>
            <w:tcW w:w="2781" w:type="dxa"/>
            <w:tcBorders>
              <w:top w:val="single" w:color="auto" w:sz="8"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参选人</w:t>
            </w:r>
          </w:p>
        </w:tc>
        <w:tc>
          <w:tcPr>
            <w:tcW w:w="1072" w:type="dxa"/>
            <w:tcBorders>
              <w:top w:val="single" w:color="auto" w:sz="8"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排名</w:t>
            </w:r>
          </w:p>
        </w:tc>
        <w:tc>
          <w:tcPr>
            <w:tcW w:w="1634" w:type="dxa"/>
            <w:tcBorders>
              <w:top w:val="single" w:color="auto" w:sz="8"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An得分</w:t>
            </w:r>
          </w:p>
        </w:tc>
        <w:tc>
          <w:tcPr>
            <w:tcW w:w="3012" w:type="dxa"/>
            <w:tcBorders>
              <w:top w:val="single" w:color="auto" w:sz="8" w:space="0"/>
              <w:left w:val="single" w:color="auto" w:sz="6" w:space="0"/>
              <w:bottom w:val="single" w:color="auto" w:sz="6" w:space="0"/>
              <w:right w:val="single" w:color="auto" w:sz="8" w:space="0"/>
            </w:tcBorders>
            <w:noWrap w:val="0"/>
            <w:vAlign w:val="center"/>
          </w:tcPr>
          <w:p>
            <w:pPr>
              <w:spacing w:line="360" w:lineRule="auto"/>
              <w:jc w:val="center"/>
              <w:rPr>
                <w:rFonts w:hint="eastAsia" w:ascii="宋体" w:hAnsi="宋体" w:cs="宋体"/>
                <w:b/>
                <w:bCs/>
                <w:szCs w:val="21"/>
                <w:highlight w:val="none"/>
              </w:rPr>
            </w:pPr>
            <w:r>
              <w:rPr>
                <w:rFonts w:hint="eastAsia" w:ascii="宋体" w:hAnsi="宋体" w:cs="宋体"/>
                <w:b/>
                <w:bCs/>
                <w:szCs w:val="21"/>
                <w:highlight w:val="none"/>
              </w:rPr>
              <w:t>备注</w:t>
            </w:r>
          </w:p>
        </w:tc>
      </w:tr>
      <w:tr>
        <w:tblPrEx>
          <w:tblCellMar>
            <w:top w:w="0" w:type="dxa"/>
            <w:left w:w="0" w:type="dxa"/>
            <w:bottom w:w="0" w:type="dxa"/>
            <w:right w:w="0" w:type="dxa"/>
          </w:tblCellMar>
        </w:tblPrEx>
        <w:trPr>
          <w:cantSplit/>
          <w:trHeight w:val="1025" w:hRule="atLeast"/>
        </w:trPr>
        <w:tc>
          <w:tcPr>
            <w:tcW w:w="77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278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163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3012" w:type="dxa"/>
            <w:vMerge w:val="restart"/>
            <w:tcBorders>
              <w:top w:val="single" w:color="auto" w:sz="6" w:space="0"/>
              <w:left w:val="single" w:color="auto" w:sz="6" w:space="0"/>
              <w:right w:val="single" w:color="auto" w:sz="8" w:space="0"/>
            </w:tcBorders>
            <w:noWrap w:val="0"/>
            <w:vAlign w:val="center"/>
          </w:tcPr>
          <w:p>
            <w:pPr>
              <w:spacing w:line="360" w:lineRule="auto"/>
              <w:rPr>
                <w:rFonts w:hint="eastAsia" w:ascii="宋体" w:hAnsi="宋体" w:cs="宋体"/>
                <w:szCs w:val="21"/>
                <w:highlight w:val="none"/>
              </w:rPr>
            </w:pPr>
            <w:r>
              <w:rPr>
                <w:rFonts w:hint="eastAsia" w:ascii="宋体" w:hAnsi="宋体" w:cs="宋体"/>
                <w:szCs w:val="21"/>
                <w:highlight w:val="none"/>
              </w:rPr>
              <w:t>按照参选人的最终得分值由高到低排列名次。若出现综合得分相同的情形，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970" w:hRule="atLeast"/>
        </w:trPr>
        <w:tc>
          <w:tcPr>
            <w:tcW w:w="77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278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163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3012" w:type="dxa"/>
            <w:vMerge w:val="continue"/>
            <w:tcBorders>
              <w:left w:val="single" w:color="auto" w:sz="6" w:space="0"/>
              <w:right w:val="single" w:color="auto" w:sz="8" w:space="0"/>
            </w:tcBorders>
            <w:noWrap w:val="0"/>
            <w:vAlign w:val="center"/>
          </w:tcPr>
          <w:p>
            <w:pPr>
              <w:spacing w:line="360" w:lineRule="auto"/>
              <w:jc w:val="center"/>
              <w:rPr>
                <w:rFonts w:hint="eastAsia" w:ascii="宋体" w:hAnsi="宋体" w:cs="宋体"/>
                <w:szCs w:val="21"/>
                <w:highlight w:val="none"/>
              </w:rPr>
            </w:pPr>
          </w:p>
        </w:tc>
      </w:tr>
      <w:tr>
        <w:trPr>
          <w:cantSplit/>
          <w:trHeight w:val="983" w:hRule="atLeast"/>
        </w:trPr>
        <w:tc>
          <w:tcPr>
            <w:tcW w:w="77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278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163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3012" w:type="dxa"/>
            <w:vMerge w:val="continue"/>
            <w:tcBorders>
              <w:left w:val="single" w:color="auto" w:sz="6" w:space="0"/>
              <w:right w:val="single" w:color="auto" w:sz="8" w:space="0"/>
            </w:tcBorders>
            <w:noWrap w:val="0"/>
            <w:vAlign w:val="center"/>
          </w:tcPr>
          <w:p>
            <w:pPr>
              <w:spacing w:line="360" w:lineRule="auto"/>
              <w:jc w:val="center"/>
              <w:rPr>
                <w:rFonts w:hint="eastAsia" w:ascii="宋体" w:hAnsi="宋体" w:cs="宋体"/>
                <w:szCs w:val="21"/>
                <w:highlight w:val="none"/>
              </w:rPr>
            </w:pPr>
          </w:p>
        </w:tc>
      </w:tr>
      <w:tr>
        <w:trPr>
          <w:cantSplit/>
          <w:trHeight w:val="828" w:hRule="atLeast"/>
        </w:trPr>
        <w:tc>
          <w:tcPr>
            <w:tcW w:w="776" w:type="dxa"/>
            <w:tcBorders>
              <w:top w:val="single" w:color="auto" w:sz="6" w:space="0"/>
              <w:left w:val="single" w:color="auto" w:sz="8"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2781"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107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1634"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宋体" w:hAnsi="宋体" w:cs="宋体"/>
                <w:szCs w:val="21"/>
                <w:highlight w:val="none"/>
              </w:rPr>
            </w:pPr>
          </w:p>
        </w:tc>
        <w:tc>
          <w:tcPr>
            <w:tcW w:w="3012" w:type="dxa"/>
            <w:vMerge w:val="continue"/>
            <w:tcBorders>
              <w:left w:val="single" w:color="auto" w:sz="6" w:space="0"/>
              <w:right w:val="single" w:color="auto" w:sz="8" w:space="0"/>
            </w:tcBorders>
            <w:noWrap w:val="0"/>
            <w:vAlign w:val="center"/>
          </w:tcPr>
          <w:p>
            <w:pPr>
              <w:spacing w:line="360" w:lineRule="auto"/>
              <w:jc w:val="center"/>
              <w:rPr>
                <w:rFonts w:hint="eastAsia" w:ascii="宋体" w:hAnsi="宋体" w:cs="宋体"/>
                <w:szCs w:val="21"/>
                <w:highlight w:val="none"/>
              </w:rPr>
            </w:pPr>
          </w:p>
        </w:tc>
      </w:tr>
      <w:tr>
        <w:trPr>
          <w:trHeight w:val="49" w:hRule="atLeast"/>
        </w:trPr>
        <w:tc>
          <w:tcPr>
            <w:tcW w:w="9275" w:type="dxa"/>
            <w:gridSpan w:val="5"/>
            <w:tcBorders>
              <w:top w:val="single" w:color="auto" w:sz="6" w:space="0"/>
              <w:left w:val="single" w:color="auto" w:sz="8" w:space="0"/>
              <w:bottom w:val="single" w:color="auto" w:sz="8" w:space="0"/>
              <w:right w:val="single" w:color="auto" w:sz="8" w:space="0"/>
            </w:tcBorders>
            <w:noWrap w:val="0"/>
            <w:vAlign w:val="top"/>
          </w:tcPr>
          <w:p>
            <w:pPr>
              <w:widowControl/>
              <w:spacing w:line="360" w:lineRule="auto"/>
              <w:ind w:left="424"/>
              <w:rPr>
                <w:rFonts w:hint="eastAsia" w:ascii="宋体" w:hAnsi="宋体" w:cs="宋体"/>
                <w:kern w:val="0"/>
                <w:szCs w:val="21"/>
                <w:highlight w:val="none"/>
              </w:rPr>
            </w:pPr>
          </w:p>
          <w:p>
            <w:pPr>
              <w:spacing w:line="360" w:lineRule="auto"/>
              <w:rPr>
                <w:rFonts w:hint="eastAsia" w:ascii="宋体" w:hAnsi="宋体" w:cs="宋体"/>
                <w:szCs w:val="21"/>
                <w:highlight w:val="none"/>
              </w:rPr>
            </w:pPr>
            <w:r>
              <w:rPr>
                <w:rFonts w:hint="eastAsia" w:ascii="宋体" w:hAnsi="宋体" w:cs="宋体"/>
                <w:szCs w:val="21"/>
                <w:highlight w:val="none"/>
              </w:rPr>
              <w:t>评委(签名)：</w:t>
            </w:r>
          </w:p>
          <w:p>
            <w:pPr>
              <w:widowControl/>
              <w:spacing w:line="360" w:lineRule="auto"/>
              <w:ind w:left="424"/>
              <w:rPr>
                <w:rFonts w:hint="eastAsia" w:ascii="宋体" w:hAnsi="宋体" w:cs="宋体"/>
                <w:kern w:val="0"/>
                <w:szCs w:val="21"/>
                <w:highlight w:val="none"/>
              </w:rPr>
            </w:pPr>
          </w:p>
          <w:p>
            <w:pPr>
              <w:widowControl/>
              <w:spacing w:line="360" w:lineRule="auto"/>
              <w:rPr>
                <w:rFonts w:hint="eastAsia" w:ascii="宋体" w:hAnsi="宋体" w:cs="宋体"/>
                <w:kern w:val="0"/>
                <w:szCs w:val="21"/>
                <w:highlight w:val="none"/>
              </w:rPr>
            </w:pPr>
          </w:p>
          <w:p>
            <w:pPr>
              <w:widowControl/>
              <w:spacing w:line="360" w:lineRule="auto"/>
              <w:rPr>
                <w:rFonts w:hint="eastAsia" w:ascii="宋体" w:hAnsi="宋体" w:cs="宋体"/>
                <w:kern w:val="0"/>
                <w:szCs w:val="21"/>
                <w:highlight w:val="none"/>
              </w:rPr>
            </w:pPr>
          </w:p>
          <w:p>
            <w:pPr>
              <w:widowControl/>
              <w:spacing w:line="360" w:lineRule="auto"/>
              <w:rPr>
                <w:rFonts w:hint="eastAsia" w:ascii="宋体" w:hAnsi="宋体" w:cs="宋体"/>
                <w:kern w:val="0"/>
                <w:szCs w:val="21"/>
                <w:highlight w:val="none"/>
              </w:rPr>
            </w:pPr>
            <w:r>
              <w:rPr>
                <w:rFonts w:hint="eastAsia" w:ascii="宋体" w:hAnsi="宋体" w:cs="宋体"/>
                <w:kern w:val="0"/>
                <w:szCs w:val="21"/>
                <w:highlight w:val="none"/>
              </w:rPr>
              <w:t>监督（签名）：</w:t>
            </w:r>
          </w:p>
          <w:p>
            <w:pPr>
              <w:widowControl/>
              <w:spacing w:line="360" w:lineRule="auto"/>
              <w:ind w:left="424"/>
              <w:rPr>
                <w:rFonts w:hint="eastAsia" w:ascii="宋体" w:hAnsi="宋体" w:cs="宋体"/>
                <w:kern w:val="0"/>
                <w:szCs w:val="21"/>
                <w:highlight w:val="none"/>
              </w:rPr>
            </w:pPr>
          </w:p>
        </w:tc>
      </w:tr>
    </w:tbl>
    <w:p>
      <w:pPr>
        <w:tabs>
          <w:tab w:val="left" w:pos="630"/>
        </w:tabs>
        <w:spacing w:line="360" w:lineRule="auto"/>
        <w:rPr>
          <w:rFonts w:hint="eastAsia" w:ascii="宋体" w:hAnsi="宋体"/>
          <w:highlight w:val="none"/>
        </w:rPr>
      </w:pPr>
    </w:p>
    <w:p>
      <w:pPr>
        <w:tabs>
          <w:tab w:val="left" w:pos="630"/>
        </w:tabs>
        <w:spacing w:line="360" w:lineRule="auto"/>
        <w:rPr>
          <w:rFonts w:hint="eastAsia" w:ascii="宋体" w:hAnsi="宋体"/>
          <w:highlight w:val="none"/>
        </w:rPr>
      </w:pPr>
    </w:p>
    <w:p>
      <w:pPr>
        <w:pStyle w:val="4"/>
        <w:spacing w:line="360" w:lineRule="auto"/>
        <w:rPr>
          <w:rFonts w:ascii="宋体" w:hAnsi="宋体"/>
          <w:b w:val="0"/>
          <w:sz w:val="44"/>
          <w:szCs w:val="44"/>
          <w:highlight w:val="none"/>
        </w:rPr>
      </w:pPr>
      <w:bookmarkStart w:id="118" w:name="_Toc518494147"/>
      <w:bookmarkStart w:id="119" w:name="_Toc57731985"/>
    </w:p>
    <w:p>
      <w:pPr>
        <w:pStyle w:val="4"/>
        <w:spacing w:line="360" w:lineRule="auto"/>
        <w:rPr>
          <w:rFonts w:ascii="宋体" w:hAnsi="宋体"/>
          <w:b w:val="0"/>
          <w:sz w:val="44"/>
          <w:szCs w:val="44"/>
          <w:highlight w:val="none"/>
        </w:rPr>
      </w:pPr>
    </w:p>
    <w:p>
      <w:pPr>
        <w:pStyle w:val="4"/>
        <w:spacing w:line="360" w:lineRule="auto"/>
        <w:rPr>
          <w:rFonts w:ascii="宋体" w:hAnsi="宋体"/>
          <w:b w:val="0"/>
          <w:sz w:val="44"/>
          <w:szCs w:val="44"/>
          <w:highlight w:val="none"/>
        </w:rPr>
      </w:pPr>
      <w:r>
        <w:rPr>
          <w:rFonts w:ascii="宋体" w:hAnsi="宋体"/>
          <w:b w:val="0"/>
          <w:sz w:val="44"/>
          <w:szCs w:val="44"/>
          <w:highlight w:val="none"/>
        </w:rPr>
        <w:t>第</w:t>
      </w:r>
      <w:r>
        <w:rPr>
          <w:rFonts w:hint="eastAsia" w:ascii="宋体" w:hAnsi="宋体"/>
          <w:b w:val="0"/>
          <w:sz w:val="44"/>
          <w:szCs w:val="44"/>
          <w:highlight w:val="none"/>
        </w:rPr>
        <w:t>二篇  参选文件格式</w:t>
      </w:r>
      <w:bookmarkEnd w:id="118"/>
      <w:bookmarkEnd w:id="119"/>
    </w:p>
    <w:p>
      <w:pPr>
        <w:spacing w:before="60" w:beforeLines="25" w:after="60" w:afterLines="25" w:line="360" w:lineRule="auto"/>
        <w:ind w:firstLine="547" w:firstLineChars="228"/>
        <w:rPr>
          <w:rFonts w:ascii="宋体" w:hAnsi="宋体"/>
          <w:sz w:val="24"/>
          <w:highlight w:val="none"/>
        </w:rPr>
      </w:pPr>
      <w:r>
        <w:rPr>
          <w:rFonts w:hint="eastAsia" w:ascii="宋体" w:hAnsi="宋体"/>
          <w:sz w:val="24"/>
          <w:highlight w:val="none"/>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highlight w:val="none"/>
        </w:rPr>
      </w:pPr>
      <w:r>
        <w:rPr>
          <w:rFonts w:ascii="宋体" w:hAnsi="宋体"/>
          <w:sz w:val="24"/>
          <w:highlight w:val="none"/>
        </w:rPr>
        <w:br w:type="page"/>
      </w:r>
    </w:p>
    <w:p>
      <w:pPr>
        <w:spacing w:line="360" w:lineRule="auto"/>
        <w:jc w:val="center"/>
        <w:rPr>
          <w:rFonts w:ascii="宋体" w:hAnsi="宋体"/>
          <w:spacing w:val="36"/>
          <w:sz w:val="44"/>
          <w:szCs w:val="44"/>
          <w:highlight w:val="none"/>
        </w:rPr>
      </w:pPr>
      <w:bookmarkStart w:id="120" w:name="_Toc385992401"/>
      <w:bookmarkStart w:id="121" w:name="_Toc486842341"/>
      <w:bookmarkStart w:id="122" w:name="_Toc197850648"/>
      <w:bookmarkStart w:id="123" w:name="_Toc497549391"/>
      <w:bookmarkStart w:id="124" w:name="_Toc389620241"/>
      <w:bookmarkStart w:id="125" w:name="_Toc197404928"/>
      <w:r>
        <w:rPr>
          <w:rFonts w:hint="eastAsia" w:ascii="宋体" w:hAnsi="宋体"/>
          <w:b/>
          <w:kern w:val="44"/>
          <w:sz w:val="44"/>
          <w:szCs w:val="44"/>
          <w:highlight w:val="none"/>
        </w:rPr>
        <w:t>第一章</w:t>
      </w:r>
    </w:p>
    <w:p>
      <w:pPr>
        <w:spacing w:line="360" w:lineRule="auto"/>
        <w:jc w:val="center"/>
        <w:rPr>
          <w:rFonts w:ascii="宋体" w:hAnsi="宋体"/>
          <w:spacing w:val="36"/>
          <w:sz w:val="44"/>
          <w:szCs w:val="44"/>
          <w:highlight w:val="none"/>
        </w:rPr>
      </w:pPr>
    </w:p>
    <w:p>
      <w:pPr>
        <w:spacing w:line="360" w:lineRule="auto"/>
        <w:jc w:val="center"/>
        <w:rPr>
          <w:rFonts w:hint="eastAsia" w:ascii="宋体" w:hAnsi="宋体"/>
          <w:b/>
          <w:spacing w:val="36"/>
          <w:sz w:val="44"/>
          <w:szCs w:val="44"/>
          <w:highlight w:val="none"/>
        </w:rPr>
      </w:pPr>
      <w:r>
        <w:rPr>
          <w:rFonts w:ascii="宋体" w:hAnsi="宋体"/>
          <w:b/>
          <w:spacing w:val="36"/>
          <w:sz w:val="44"/>
          <w:szCs w:val="44"/>
          <w:highlight w:val="none"/>
        </w:rPr>
        <w:t>深圳市地铁集团有限公司</w:t>
      </w:r>
    </w:p>
    <w:p>
      <w:pPr>
        <w:spacing w:line="360" w:lineRule="auto"/>
        <w:jc w:val="center"/>
        <w:rPr>
          <w:rFonts w:hint="eastAsia" w:ascii="宋体" w:hAnsi="宋体"/>
          <w:b/>
          <w:spacing w:val="36"/>
          <w:sz w:val="44"/>
          <w:szCs w:val="44"/>
          <w:highlight w:val="none"/>
        </w:rPr>
      </w:pPr>
      <w:r>
        <w:rPr>
          <w:rFonts w:hint="eastAsia" w:ascii="宋体" w:hAnsi="宋体" w:eastAsia="宋体" w:cs="宋体"/>
          <w:b/>
          <w:sz w:val="44"/>
          <w:szCs w:val="44"/>
          <w:highlight w:val="none"/>
        </w:rPr>
        <w:t>深铁瑞城系列营销活动与现场包装服</w:t>
      </w:r>
      <w:r>
        <w:rPr>
          <w:rFonts w:hint="eastAsia" w:ascii="宋体" w:hAnsi="宋体" w:cs="宋体"/>
          <w:b/>
          <w:sz w:val="44"/>
          <w:szCs w:val="44"/>
          <w:highlight w:val="none"/>
        </w:rPr>
        <w:t>务</w:t>
      </w:r>
    </w:p>
    <w:p>
      <w:pPr>
        <w:pStyle w:val="24"/>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4"/>
        <w:spacing w:line="360" w:lineRule="auto"/>
        <w:jc w:val="center"/>
        <w:rPr>
          <w:rFonts w:hAnsi="宋体"/>
          <w:bCs/>
          <w:sz w:val="17"/>
          <w:szCs w:val="17"/>
          <w:highlight w:val="none"/>
        </w:rPr>
      </w:pPr>
    </w:p>
    <w:p>
      <w:pPr>
        <w:pStyle w:val="24"/>
        <w:spacing w:line="360" w:lineRule="auto"/>
        <w:jc w:val="center"/>
        <w:rPr>
          <w:rFonts w:hAnsi="宋体"/>
          <w:b/>
          <w:bCs/>
          <w:sz w:val="52"/>
          <w:szCs w:val="52"/>
          <w:highlight w:val="none"/>
        </w:rPr>
      </w:pPr>
      <w:r>
        <w:rPr>
          <w:rFonts w:hint="eastAsia" w:hAnsi="宋体"/>
          <w:b/>
          <w:bCs/>
          <w:sz w:val="52"/>
          <w:szCs w:val="52"/>
          <w:highlight w:val="none"/>
        </w:rPr>
        <w:t>技术标书</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 xml:space="preserve">日   期：    年  </w:t>
      </w:r>
      <w:r>
        <w:rPr>
          <w:rFonts w:ascii="宋体" w:hAnsi="宋体"/>
          <w:b/>
          <w:bCs/>
          <w:sz w:val="28"/>
          <w:szCs w:val="28"/>
          <w:highlight w:val="none"/>
        </w:rPr>
        <w:t xml:space="preserve"> </w:t>
      </w:r>
      <w:r>
        <w:rPr>
          <w:rFonts w:hint="eastAsia" w:ascii="宋体" w:hAnsi="宋体"/>
          <w:b/>
          <w:bCs/>
          <w:sz w:val="28"/>
          <w:szCs w:val="28"/>
          <w:highlight w:val="none"/>
        </w:rPr>
        <w:t xml:space="preserve">月 </w:t>
      </w:r>
      <w:r>
        <w:rPr>
          <w:rFonts w:ascii="宋体" w:hAnsi="宋体"/>
          <w:b/>
          <w:bCs/>
          <w:sz w:val="28"/>
          <w:szCs w:val="28"/>
          <w:highlight w:val="none"/>
        </w:rPr>
        <w:t xml:space="preserve"> </w:t>
      </w:r>
      <w:r>
        <w:rPr>
          <w:rFonts w:hint="eastAsia" w:ascii="宋体" w:hAnsi="宋体"/>
          <w:b/>
          <w:bCs/>
          <w:sz w:val="28"/>
          <w:szCs w:val="28"/>
          <w:highlight w:val="none"/>
        </w:rPr>
        <w:t xml:space="preserve"> 日</w:t>
      </w:r>
    </w:p>
    <w:p>
      <w:pPr>
        <w:spacing w:line="360" w:lineRule="auto"/>
        <w:jc w:val="left"/>
        <w:rPr>
          <w:rFonts w:hint="eastAsia" w:ascii="宋体" w:hAnsi="宋体" w:cs="宋体-18030"/>
          <w:sz w:val="24"/>
          <w:szCs w:val="24"/>
          <w:highlight w:val="none"/>
        </w:rPr>
        <w:sectPr>
          <w:headerReference r:id="rId9" w:type="first"/>
          <w:headerReference r:id="rId8" w:type="default"/>
          <w:pgSz w:w="11907" w:h="16840"/>
          <w:pgMar w:top="1134" w:right="1021" w:bottom="1134" w:left="1440" w:header="567" w:footer="868" w:gutter="0"/>
          <w:cols w:space="720" w:num="1"/>
          <w:titlePg/>
          <w:docGrid w:linePitch="380" w:charSpace="0"/>
        </w:sectPr>
      </w:pPr>
    </w:p>
    <w:p>
      <w:pPr>
        <w:pStyle w:val="5"/>
        <w:spacing w:line="360" w:lineRule="auto"/>
        <w:rPr>
          <w:highlight w:val="none"/>
        </w:rPr>
      </w:pPr>
      <w:bookmarkStart w:id="126" w:name="_Toc402782195"/>
      <w:bookmarkStart w:id="127" w:name="_Toc57731986"/>
      <w:r>
        <w:rPr>
          <w:rFonts w:hint="eastAsia"/>
          <w:highlight w:val="none"/>
        </w:rPr>
        <w:t>技术标书目录</w:t>
      </w:r>
      <w:bookmarkEnd w:id="126"/>
      <w:bookmarkEnd w:id="127"/>
    </w:p>
    <w:p>
      <w:pPr>
        <w:pStyle w:val="130"/>
        <w:widowControl/>
        <w:overflowPunct w:val="0"/>
        <w:autoSpaceDE w:val="0"/>
        <w:autoSpaceDN w:val="0"/>
        <w:adjustRightInd w:val="0"/>
        <w:spacing w:line="360" w:lineRule="auto"/>
        <w:ind w:firstLine="480"/>
        <w:jc w:val="left"/>
        <w:textAlignment w:val="baseline"/>
        <w:rPr>
          <w:rFonts w:hint="eastAsia" w:ascii="宋体" w:hAnsi="宋体"/>
          <w:sz w:val="24"/>
          <w:szCs w:val="24"/>
          <w:highlight w:val="none"/>
        </w:rPr>
      </w:pPr>
      <w:r>
        <w:rPr>
          <w:rFonts w:hint="eastAsia" w:ascii="宋体" w:hAnsi="宋体"/>
          <w:sz w:val="24"/>
          <w:szCs w:val="24"/>
          <w:highlight w:val="none"/>
        </w:rPr>
        <w:t>一、企业法人营业执照复印件（加盖公章）</w:t>
      </w:r>
    </w:p>
    <w:p>
      <w:pPr>
        <w:pStyle w:val="130"/>
        <w:widowControl/>
        <w:overflowPunct w:val="0"/>
        <w:autoSpaceDE w:val="0"/>
        <w:autoSpaceDN w:val="0"/>
        <w:adjustRightInd w:val="0"/>
        <w:spacing w:line="360" w:lineRule="auto"/>
        <w:ind w:firstLine="480"/>
        <w:jc w:val="left"/>
        <w:textAlignment w:val="baseline"/>
        <w:rPr>
          <w:rFonts w:hint="eastAsia" w:ascii="宋体" w:hAnsi="宋体"/>
          <w:sz w:val="24"/>
          <w:szCs w:val="24"/>
          <w:highlight w:val="none"/>
        </w:rPr>
      </w:pPr>
      <w:r>
        <w:rPr>
          <w:rFonts w:hint="eastAsia" w:ascii="宋体" w:hAnsi="宋体"/>
          <w:sz w:val="24"/>
          <w:szCs w:val="24"/>
          <w:highlight w:val="none"/>
        </w:rPr>
        <w:t>二、法定代表人资格证明书</w:t>
      </w:r>
    </w:p>
    <w:p>
      <w:pPr>
        <w:pStyle w:val="130"/>
        <w:widowControl/>
        <w:overflowPunct w:val="0"/>
        <w:autoSpaceDE w:val="0"/>
        <w:autoSpaceDN w:val="0"/>
        <w:adjustRightInd w:val="0"/>
        <w:spacing w:line="360" w:lineRule="auto"/>
        <w:ind w:firstLine="480"/>
        <w:jc w:val="left"/>
        <w:textAlignment w:val="baseline"/>
        <w:rPr>
          <w:rFonts w:ascii="宋体" w:hAnsi="宋体"/>
          <w:sz w:val="24"/>
          <w:szCs w:val="24"/>
          <w:highlight w:val="none"/>
        </w:rPr>
      </w:pPr>
      <w:r>
        <w:rPr>
          <w:rFonts w:hint="eastAsia" w:ascii="宋体" w:hAnsi="宋体"/>
          <w:sz w:val="24"/>
          <w:szCs w:val="24"/>
          <w:highlight w:val="none"/>
        </w:rPr>
        <w:t>三、法定代表人身份证复印件</w:t>
      </w:r>
    </w:p>
    <w:p>
      <w:pPr>
        <w:pStyle w:val="130"/>
        <w:widowControl/>
        <w:overflowPunct w:val="0"/>
        <w:autoSpaceDE w:val="0"/>
        <w:autoSpaceDN w:val="0"/>
        <w:adjustRightInd w:val="0"/>
        <w:spacing w:line="360" w:lineRule="auto"/>
        <w:ind w:firstLine="480"/>
        <w:jc w:val="left"/>
        <w:textAlignment w:val="baseline"/>
        <w:rPr>
          <w:rFonts w:hint="eastAsia" w:ascii="宋体" w:hAnsi="宋体"/>
          <w:sz w:val="24"/>
          <w:szCs w:val="24"/>
          <w:highlight w:val="none"/>
        </w:rPr>
      </w:pPr>
      <w:r>
        <w:rPr>
          <w:rFonts w:hint="eastAsia" w:ascii="宋体" w:hAnsi="宋体"/>
          <w:sz w:val="24"/>
          <w:szCs w:val="24"/>
          <w:highlight w:val="none"/>
        </w:rPr>
        <w:t>四、法定代表人授权委托书（若有）</w:t>
      </w:r>
    </w:p>
    <w:p>
      <w:pPr>
        <w:widowControl/>
        <w:overflowPunct w:val="0"/>
        <w:autoSpaceDE w:val="0"/>
        <w:autoSpaceDN w:val="0"/>
        <w:adjustRightInd w:val="0"/>
        <w:spacing w:line="360" w:lineRule="auto"/>
        <w:ind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rPr>
        <w:t>五、被授权人身份证复印件（如有）</w:t>
      </w:r>
    </w:p>
    <w:p>
      <w:pPr>
        <w:pStyle w:val="149"/>
        <w:spacing w:before="50" w:line="360" w:lineRule="auto"/>
        <w:ind w:firstLine="470" w:firstLineChars="196"/>
        <w:rPr>
          <w:rFonts w:hint="eastAsia" w:ascii="宋体" w:hAnsi="宋体" w:eastAsia="宋体" w:cs="Times New Roman"/>
          <w:color w:val="auto"/>
          <w:highlight w:val="none"/>
          <w:lang w:val="zh-CN"/>
        </w:rPr>
      </w:pPr>
      <w:r>
        <w:rPr>
          <w:rFonts w:hint="eastAsia" w:ascii="宋体" w:hAnsi="宋体" w:eastAsia="宋体" w:cs="Times New Roman"/>
          <w:color w:val="auto"/>
          <w:highlight w:val="none"/>
          <w:lang w:val="zh-CN"/>
        </w:rPr>
        <w:t>六、</w:t>
      </w:r>
      <w:r>
        <w:rPr>
          <w:rFonts w:hint="eastAsia" w:ascii="宋体" w:hAnsi="宋体" w:eastAsia="宋体" w:cs="Times New Roman"/>
          <w:color w:val="auto"/>
          <w:kern w:val="0"/>
          <w:sz w:val="24"/>
          <w:szCs w:val="24"/>
          <w:highlight w:val="none"/>
          <w:lang w:val="zh-CN" w:eastAsia="zh-CN" w:bidi="ar-SA"/>
        </w:rPr>
        <w:t>《</w:t>
      </w:r>
      <w:r>
        <w:rPr>
          <w:rFonts w:hint="eastAsia" w:ascii="宋体" w:hAnsi="宋体" w:eastAsia="宋体" w:cs="Times New Roman"/>
          <w:color w:val="auto"/>
          <w:kern w:val="0"/>
          <w:sz w:val="24"/>
          <w:szCs w:val="24"/>
          <w:highlight w:val="none"/>
          <w:lang w:val="zh-TW" w:eastAsia="zh-TW" w:bidi="ar-SA"/>
        </w:rPr>
        <w:t>深铁瑞城系列营销活动与现场包装</w:t>
      </w:r>
      <w:r>
        <w:rPr>
          <w:rFonts w:hint="eastAsia" w:ascii="宋体" w:hAnsi="宋体" w:eastAsia="宋体" w:cs="Times New Roman"/>
          <w:color w:val="auto"/>
          <w:kern w:val="0"/>
          <w:sz w:val="24"/>
          <w:szCs w:val="24"/>
          <w:highlight w:val="none"/>
          <w:lang w:val="en-US" w:eastAsia="zh-CN" w:bidi="ar-SA"/>
        </w:rPr>
        <w:t>服务</w:t>
      </w:r>
      <w:r>
        <w:rPr>
          <w:rFonts w:hint="eastAsia" w:ascii="宋体" w:hAnsi="宋体" w:eastAsia="宋体" w:cs="Times New Roman"/>
          <w:color w:val="auto"/>
          <w:kern w:val="0"/>
          <w:sz w:val="24"/>
          <w:szCs w:val="24"/>
          <w:highlight w:val="none"/>
          <w:lang w:val="zh-TW" w:eastAsia="zh-TW" w:bidi="ar-SA"/>
        </w:rPr>
        <w:t>方案</w:t>
      </w:r>
      <w:r>
        <w:rPr>
          <w:rFonts w:hint="eastAsia" w:ascii="宋体" w:hAnsi="宋体" w:eastAsia="宋体" w:cs="Times New Roman"/>
          <w:color w:val="auto"/>
          <w:kern w:val="0"/>
          <w:sz w:val="24"/>
          <w:szCs w:val="24"/>
          <w:highlight w:val="none"/>
          <w:lang w:val="zh-CN" w:eastAsia="zh-CN" w:bidi="ar-SA"/>
        </w:rPr>
        <w:t>》</w:t>
      </w:r>
    </w:p>
    <w:p>
      <w:pPr>
        <w:pStyle w:val="149"/>
        <w:spacing w:before="50" w:line="360" w:lineRule="auto"/>
        <w:ind w:firstLine="470" w:firstLineChars="196"/>
        <w:rPr>
          <w:rFonts w:hint="eastAsia"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七、公司</w:t>
      </w:r>
      <w:r>
        <w:rPr>
          <w:rFonts w:hint="eastAsia" w:ascii="宋体" w:hAnsi="宋体" w:eastAsia="宋体" w:cs="Times New Roman"/>
          <w:color w:val="auto"/>
          <w:highlight w:val="none"/>
          <w:lang w:val="en-US" w:eastAsia="zh-CN"/>
        </w:rPr>
        <w:t>营业执照</w:t>
      </w:r>
      <w:r>
        <w:rPr>
          <w:rFonts w:hint="eastAsia" w:ascii="宋体" w:hAnsi="宋体" w:eastAsia="宋体" w:cs="Times New Roman"/>
          <w:color w:val="auto"/>
          <w:highlight w:val="none"/>
          <w:lang w:val="zh-CN" w:eastAsia="zh-TW"/>
        </w:rPr>
        <w:t>（需盖公章）</w:t>
      </w:r>
    </w:p>
    <w:p>
      <w:pPr>
        <w:pStyle w:val="149"/>
        <w:spacing w:before="50" w:line="360" w:lineRule="auto"/>
        <w:ind w:firstLine="470" w:firstLineChars="196"/>
        <w:rPr>
          <w:rFonts w:hint="eastAsia" w:ascii="宋体" w:hAnsi="宋体" w:eastAsia="宋体" w:cs="Times New Roman"/>
          <w:color w:val="auto"/>
          <w:kern w:val="0"/>
          <w:sz w:val="24"/>
          <w:szCs w:val="24"/>
          <w:highlight w:val="none"/>
          <w:lang w:val="zh-CN" w:eastAsia="zh-TW" w:bidi="ar-SA"/>
        </w:rPr>
      </w:pPr>
      <w:r>
        <w:rPr>
          <w:rFonts w:hint="eastAsia" w:ascii="宋体" w:hAnsi="宋体" w:eastAsia="宋体" w:cs="Times New Roman"/>
          <w:color w:val="auto"/>
          <w:highlight w:val="none"/>
          <w:lang w:val="zh-CN"/>
        </w:rPr>
        <w:t>八、</w:t>
      </w:r>
      <w:r>
        <w:rPr>
          <w:rFonts w:hint="eastAsia" w:ascii="宋体" w:hAnsi="宋体" w:eastAsia="宋体" w:cs="Times New Roman"/>
          <w:color w:val="auto"/>
          <w:kern w:val="0"/>
          <w:sz w:val="24"/>
          <w:szCs w:val="24"/>
          <w:highlight w:val="none"/>
          <w:lang w:val="zh-CN" w:eastAsia="zh-CN" w:bidi="ar-SA"/>
        </w:rPr>
        <w:t>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证明材料均提供合同复印件，需包含合同关键页：服务内容、服务期限、盖章签署页等内容，均需盖公章）。</w:t>
      </w:r>
    </w:p>
    <w:p>
      <w:pPr>
        <w:pStyle w:val="149"/>
        <w:spacing w:before="50" w:line="360" w:lineRule="auto"/>
        <w:ind w:firstLine="470" w:firstLineChars="196"/>
        <w:rPr>
          <w:rFonts w:ascii="宋体" w:hAnsi="宋体" w:eastAsia="宋体" w:cs="Times New Roman"/>
          <w:color w:val="auto"/>
          <w:highlight w:val="none"/>
        </w:rPr>
      </w:pPr>
    </w:p>
    <w:p>
      <w:pPr>
        <w:pStyle w:val="3"/>
        <w:ind w:left="0" w:leftChars="0" w:firstLine="600" w:firstLineChars="250"/>
        <w:rPr>
          <w:rFonts w:ascii="宋体" w:hAnsi="宋体"/>
          <w:sz w:val="24"/>
          <w:highlight w:val="none"/>
        </w:rPr>
      </w:pPr>
      <w:r>
        <w:rPr>
          <w:rFonts w:hint="eastAsia" w:ascii="宋体" w:hAnsi="宋体"/>
          <w:sz w:val="24"/>
          <w:highlight w:val="none"/>
        </w:rPr>
        <w:t>项目资料真实性及业绩由参选人负责核实，并加盖公章。若招标人查实上述信息不真实，参选人将负全责。</w:t>
      </w:r>
    </w:p>
    <w:p>
      <w:pPr>
        <w:pStyle w:val="3"/>
        <w:ind w:left="0" w:leftChars="0" w:firstLine="480" w:firstLineChars="200"/>
        <w:rPr>
          <w:rFonts w:hint="eastAsia" w:ascii="宋体" w:hAnsi="宋体"/>
          <w:sz w:val="24"/>
          <w:szCs w:val="24"/>
          <w:highlight w:val="none"/>
          <w:lang w:val="zh-CN"/>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pStyle w:val="24"/>
        <w:spacing w:line="360" w:lineRule="auto"/>
        <w:rPr>
          <w:rFonts w:hint="eastAsia" w:hAnsi="宋体"/>
          <w:b/>
          <w:sz w:val="24"/>
          <w:szCs w:val="24"/>
          <w:highlight w:val="none"/>
        </w:rPr>
      </w:pPr>
      <w:bookmarkStart w:id="128" w:name="_Toc402782196"/>
    </w:p>
    <w:p>
      <w:pPr>
        <w:pStyle w:val="24"/>
        <w:spacing w:line="360" w:lineRule="auto"/>
        <w:rPr>
          <w:rFonts w:hint="eastAsia" w:hAnsi="宋体"/>
          <w:b/>
          <w:sz w:val="24"/>
          <w:szCs w:val="24"/>
          <w:highlight w:val="none"/>
        </w:rPr>
      </w:pPr>
      <w:r>
        <w:rPr>
          <w:rFonts w:hint="eastAsia" w:hAnsi="宋体"/>
          <w:b/>
          <w:sz w:val="24"/>
          <w:szCs w:val="24"/>
          <w:highlight w:val="none"/>
        </w:rPr>
        <w:t>一、企业法人营业执照复印件（加盖公章）</w:t>
      </w: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int="eastAsia" w:hAnsi="宋体"/>
          <w:b/>
          <w:sz w:val="24"/>
          <w:szCs w:val="24"/>
          <w:highlight w:val="none"/>
        </w:rPr>
      </w:pPr>
    </w:p>
    <w:p>
      <w:pPr>
        <w:pStyle w:val="24"/>
        <w:spacing w:line="360" w:lineRule="auto"/>
        <w:rPr>
          <w:rFonts w:hAnsi="宋体"/>
          <w:b/>
          <w:sz w:val="24"/>
          <w:szCs w:val="24"/>
          <w:highlight w:val="none"/>
        </w:rPr>
      </w:pPr>
      <w:r>
        <w:rPr>
          <w:rFonts w:hAnsi="宋体"/>
          <w:b/>
          <w:sz w:val="24"/>
          <w:szCs w:val="24"/>
          <w:highlight w:val="none"/>
        </w:rPr>
        <w:br w:type="page"/>
      </w:r>
      <w:r>
        <w:rPr>
          <w:rFonts w:hint="eastAsia" w:hAnsi="宋体"/>
          <w:b/>
          <w:sz w:val="24"/>
          <w:szCs w:val="24"/>
          <w:highlight w:val="none"/>
        </w:rPr>
        <w:t>二</w:t>
      </w:r>
      <w:r>
        <w:rPr>
          <w:rFonts w:hAnsi="宋体"/>
          <w:b/>
          <w:sz w:val="24"/>
          <w:szCs w:val="24"/>
          <w:highlight w:val="none"/>
        </w:rPr>
        <w:t>、法定代表人资格证明书格式</w:t>
      </w:r>
      <w:bookmarkEnd w:id="128"/>
    </w:p>
    <w:p>
      <w:pPr>
        <w:spacing w:line="360" w:lineRule="auto"/>
        <w:ind w:firstLine="5651"/>
        <w:rPr>
          <w:rFonts w:ascii="宋体" w:hAnsi="宋体"/>
          <w:sz w:val="24"/>
          <w:highlight w:val="none"/>
        </w:rPr>
      </w:pPr>
    </w:p>
    <w:p>
      <w:pPr>
        <w:pStyle w:val="24"/>
        <w:spacing w:after="120" w:afterLines="50" w:line="360" w:lineRule="auto"/>
        <w:jc w:val="center"/>
        <w:rPr>
          <w:rFonts w:hAnsi="宋体"/>
          <w:sz w:val="44"/>
          <w:highlight w:val="none"/>
        </w:rPr>
      </w:pPr>
    </w:p>
    <w:p>
      <w:pPr>
        <w:pStyle w:val="24"/>
        <w:spacing w:after="120" w:afterLines="50" w:line="360" w:lineRule="auto"/>
        <w:jc w:val="center"/>
        <w:rPr>
          <w:rFonts w:hAnsi="宋体"/>
          <w:sz w:val="44"/>
          <w:highlight w:val="none"/>
        </w:rPr>
      </w:pPr>
      <w:r>
        <w:rPr>
          <w:rFonts w:hAnsi="宋体"/>
          <w:sz w:val="44"/>
          <w:highlight w:val="none"/>
        </w:rPr>
        <w:t>法定代表人资格证明书</w:t>
      </w:r>
    </w:p>
    <w:p>
      <w:pPr>
        <w:pStyle w:val="24"/>
        <w:spacing w:line="360" w:lineRule="auto"/>
        <w:ind w:firstLine="480" w:firstLineChars="200"/>
        <w:rPr>
          <w:rFonts w:hAnsi="宋体"/>
          <w:sz w:val="24"/>
          <w:szCs w:val="24"/>
          <w:highlight w:val="none"/>
        </w:rPr>
      </w:pPr>
    </w:p>
    <w:p>
      <w:pPr>
        <w:pStyle w:val="24"/>
        <w:spacing w:line="360" w:lineRule="auto"/>
        <w:ind w:left="279" w:leftChars="133"/>
        <w:rPr>
          <w:rFonts w:hAnsi="宋体"/>
          <w:sz w:val="24"/>
          <w:szCs w:val="24"/>
          <w:highlight w:val="none"/>
        </w:rPr>
      </w:pPr>
    </w:p>
    <w:p>
      <w:pPr>
        <w:pStyle w:val="24"/>
        <w:spacing w:line="360" w:lineRule="auto"/>
        <w:ind w:left="279" w:leftChars="133" w:firstLine="120" w:firstLineChars="50"/>
        <w:rPr>
          <w:rFonts w:hAnsi="宋体"/>
          <w:sz w:val="24"/>
          <w:szCs w:val="24"/>
          <w:highlight w:val="none"/>
          <w:u w:val="single"/>
        </w:rPr>
      </w:pPr>
      <w:r>
        <w:rPr>
          <w:rFonts w:hAnsi="宋体"/>
          <w:sz w:val="24"/>
          <w:szCs w:val="24"/>
          <w:highlight w:val="none"/>
        </w:rPr>
        <w:t>单位名称：</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u w:val="single"/>
        </w:rPr>
      </w:pPr>
      <w:r>
        <w:rPr>
          <w:rFonts w:hAnsi="宋体"/>
          <w:sz w:val="24"/>
          <w:szCs w:val="24"/>
          <w:highlight w:val="none"/>
        </w:rPr>
        <w:t>地</w:t>
      </w:r>
      <w:r>
        <w:rPr>
          <w:rFonts w:hint="eastAsia" w:hAnsi="宋体"/>
          <w:sz w:val="24"/>
          <w:szCs w:val="24"/>
          <w:highlight w:val="none"/>
        </w:rPr>
        <w:t xml:space="preserve">    </w:t>
      </w:r>
      <w:r>
        <w:rPr>
          <w:rFonts w:hAnsi="宋体"/>
          <w:sz w:val="24"/>
          <w:szCs w:val="24"/>
          <w:highlight w:val="none"/>
        </w:rPr>
        <w:t>址：</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u w:val="single"/>
        </w:rPr>
      </w:pPr>
      <w:r>
        <w:rPr>
          <w:rFonts w:hAnsi="宋体"/>
          <w:sz w:val="24"/>
          <w:szCs w:val="24"/>
          <w:highlight w:val="none"/>
        </w:rPr>
        <w:t>姓</w:t>
      </w:r>
      <w:r>
        <w:rPr>
          <w:rFonts w:hint="eastAsia" w:hAnsi="宋体"/>
          <w:sz w:val="24"/>
          <w:szCs w:val="24"/>
          <w:highlight w:val="none"/>
        </w:rPr>
        <w:t xml:space="preserve">    </w:t>
      </w:r>
      <w:r>
        <w:rPr>
          <w:rFonts w:hAnsi="宋体"/>
          <w:sz w:val="24"/>
          <w:szCs w:val="24"/>
          <w:highlight w:val="none"/>
        </w:rPr>
        <w:t>名：</w:t>
      </w:r>
      <w:r>
        <w:rPr>
          <w:rFonts w:hint="eastAsia" w:hAnsi="宋体"/>
          <w:sz w:val="24"/>
          <w:szCs w:val="24"/>
          <w:highlight w:val="none"/>
          <w:u w:val="single"/>
        </w:rPr>
        <w:t xml:space="preserve">                      </w:t>
      </w:r>
      <w:r>
        <w:rPr>
          <w:rFonts w:hint="eastAsia" w:hAnsi="宋体"/>
          <w:sz w:val="24"/>
          <w:szCs w:val="24"/>
          <w:highlight w:val="none"/>
        </w:rPr>
        <w:t xml:space="preserve">   </w:t>
      </w:r>
      <w:r>
        <w:rPr>
          <w:rFonts w:hAnsi="宋体"/>
          <w:sz w:val="24"/>
          <w:szCs w:val="24"/>
          <w:highlight w:val="none"/>
        </w:rPr>
        <w:t>性</w:t>
      </w:r>
      <w:r>
        <w:rPr>
          <w:rFonts w:hint="eastAsia" w:hAnsi="宋体"/>
          <w:sz w:val="24"/>
          <w:szCs w:val="24"/>
          <w:highlight w:val="none"/>
        </w:rPr>
        <w:t xml:space="preserve">    </w:t>
      </w:r>
      <w:r>
        <w:rPr>
          <w:rFonts w:hAnsi="宋体"/>
          <w:sz w:val="24"/>
          <w:szCs w:val="24"/>
          <w:highlight w:val="none"/>
        </w:rPr>
        <w:t>别：</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u w:val="single"/>
        </w:rPr>
      </w:pPr>
      <w:r>
        <w:rPr>
          <w:rFonts w:hAnsi="宋体"/>
          <w:sz w:val="24"/>
          <w:szCs w:val="24"/>
          <w:highlight w:val="none"/>
        </w:rPr>
        <w:t>年</w:t>
      </w:r>
      <w:r>
        <w:rPr>
          <w:rFonts w:hint="eastAsia" w:hAnsi="宋体"/>
          <w:sz w:val="24"/>
          <w:szCs w:val="24"/>
          <w:highlight w:val="none"/>
        </w:rPr>
        <w:t xml:space="preserve">    </w:t>
      </w:r>
      <w:r>
        <w:rPr>
          <w:rFonts w:hAnsi="宋体"/>
          <w:sz w:val="24"/>
          <w:szCs w:val="24"/>
          <w:highlight w:val="none"/>
        </w:rPr>
        <w:t>龄：</w:t>
      </w:r>
      <w:r>
        <w:rPr>
          <w:rFonts w:hint="eastAsia" w:hAnsi="宋体"/>
          <w:sz w:val="24"/>
          <w:szCs w:val="24"/>
          <w:highlight w:val="none"/>
          <w:u w:val="single"/>
        </w:rPr>
        <w:t xml:space="preserve">                      </w:t>
      </w:r>
      <w:r>
        <w:rPr>
          <w:rFonts w:hint="eastAsia" w:hAnsi="宋体"/>
          <w:sz w:val="24"/>
          <w:szCs w:val="24"/>
          <w:highlight w:val="none"/>
        </w:rPr>
        <w:t xml:space="preserve">   </w:t>
      </w:r>
      <w:r>
        <w:rPr>
          <w:rFonts w:hAnsi="宋体"/>
          <w:sz w:val="24"/>
          <w:szCs w:val="24"/>
          <w:highlight w:val="none"/>
        </w:rPr>
        <w:t>职</w:t>
      </w:r>
      <w:r>
        <w:rPr>
          <w:rFonts w:hint="eastAsia" w:hAnsi="宋体"/>
          <w:sz w:val="24"/>
          <w:szCs w:val="24"/>
          <w:highlight w:val="none"/>
        </w:rPr>
        <w:t xml:space="preserve">    </w:t>
      </w:r>
      <w:r>
        <w:rPr>
          <w:rFonts w:hAnsi="宋体"/>
          <w:sz w:val="24"/>
          <w:szCs w:val="24"/>
          <w:highlight w:val="none"/>
        </w:rPr>
        <w:t>务：</w:t>
      </w:r>
      <w:r>
        <w:rPr>
          <w:rFonts w:hint="eastAsia" w:hAnsi="宋体"/>
          <w:sz w:val="24"/>
          <w:szCs w:val="24"/>
          <w:highlight w:val="none"/>
          <w:u w:val="single"/>
        </w:rPr>
        <w:t xml:space="preserve">                       </w:t>
      </w:r>
    </w:p>
    <w:p>
      <w:pPr>
        <w:pStyle w:val="24"/>
        <w:spacing w:line="360" w:lineRule="auto"/>
        <w:ind w:left="279" w:leftChars="133" w:firstLine="120" w:firstLineChars="50"/>
        <w:rPr>
          <w:rFonts w:hAnsi="宋体"/>
          <w:sz w:val="24"/>
          <w:szCs w:val="24"/>
          <w:highlight w:val="none"/>
        </w:rPr>
      </w:pPr>
      <w:r>
        <w:rPr>
          <w:rFonts w:hAnsi="宋体"/>
          <w:sz w:val="24"/>
          <w:szCs w:val="24"/>
          <w:highlight w:val="none"/>
        </w:rPr>
        <w:t>系</w:t>
      </w:r>
      <w:r>
        <w:rPr>
          <w:rFonts w:hint="eastAsia" w:hAnsi="宋体"/>
          <w:sz w:val="24"/>
          <w:szCs w:val="24"/>
          <w:highlight w:val="none"/>
          <w:u w:val="single"/>
        </w:rPr>
        <w:t xml:space="preserve">                                                     </w:t>
      </w:r>
      <w:r>
        <w:rPr>
          <w:rFonts w:hAnsi="宋体"/>
          <w:sz w:val="24"/>
          <w:szCs w:val="24"/>
          <w:highlight w:val="none"/>
        </w:rPr>
        <w:t>的法定代表人。</w:t>
      </w:r>
    </w:p>
    <w:p>
      <w:pPr>
        <w:pStyle w:val="24"/>
        <w:spacing w:line="360" w:lineRule="auto"/>
        <w:ind w:left="359" w:leftChars="171"/>
        <w:rPr>
          <w:rFonts w:hAnsi="宋体"/>
          <w:sz w:val="24"/>
          <w:szCs w:val="24"/>
          <w:highlight w:val="none"/>
        </w:rPr>
      </w:pPr>
    </w:p>
    <w:p>
      <w:pPr>
        <w:pStyle w:val="24"/>
        <w:spacing w:line="360" w:lineRule="auto"/>
        <w:ind w:left="359" w:leftChars="171" w:firstLine="120" w:firstLineChars="50"/>
        <w:rPr>
          <w:rFonts w:hAnsi="宋体"/>
          <w:sz w:val="24"/>
          <w:szCs w:val="24"/>
          <w:highlight w:val="none"/>
        </w:rPr>
      </w:pPr>
      <w:r>
        <w:rPr>
          <w:rFonts w:hAnsi="宋体"/>
          <w:sz w:val="24"/>
          <w:szCs w:val="24"/>
          <w:highlight w:val="none"/>
        </w:rPr>
        <w:t>特此证明。</w:t>
      </w:r>
    </w:p>
    <w:p>
      <w:pPr>
        <w:pStyle w:val="24"/>
        <w:spacing w:line="360" w:lineRule="auto"/>
        <w:ind w:left="133" w:firstLine="1260" w:firstLineChars="525"/>
        <w:rPr>
          <w:rFonts w:hAnsi="宋体"/>
          <w:sz w:val="24"/>
          <w:szCs w:val="24"/>
          <w:highlight w:val="none"/>
        </w:rPr>
      </w:pPr>
    </w:p>
    <w:p>
      <w:pPr>
        <w:pStyle w:val="24"/>
        <w:spacing w:line="360" w:lineRule="auto"/>
        <w:ind w:left="133" w:firstLine="1260" w:firstLineChars="525"/>
        <w:rPr>
          <w:rFonts w:hAnsi="宋体"/>
          <w:sz w:val="24"/>
          <w:szCs w:val="24"/>
          <w:highlight w:val="none"/>
        </w:rPr>
      </w:pPr>
    </w:p>
    <w:p>
      <w:pPr>
        <w:pStyle w:val="24"/>
        <w:spacing w:line="360" w:lineRule="auto"/>
        <w:ind w:firstLine="480" w:firstLineChars="200"/>
        <w:rPr>
          <w:rFonts w:hAnsi="宋体"/>
          <w:sz w:val="24"/>
          <w:szCs w:val="24"/>
          <w:highlight w:val="none"/>
          <w:u w:val="single"/>
        </w:rPr>
      </w:pPr>
      <w:r>
        <w:rPr>
          <w:rFonts w:hAnsi="宋体"/>
          <w:sz w:val="24"/>
          <w:szCs w:val="24"/>
          <w:highlight w:val="none"/>
        </w:rPr>
        <w:t>参选人（盖章）：</w:t>
      </w:r>
      <w:r>
        <w:rPr>
          <w:rFonts w:hAnsi="宋体"/>
          <w:sz w:val="24"/>
          <w:szCs w:val="24"/>
          <w:highlight w:val="none"/>
          <w:u w:val="single"/>
        </w:rPr>
        <w:t xml:space="preserve">        [参选人名称]                </w:t>
      </w:r>
    </w:p>
    <w:p>
      <w:pPr>
        <w:pStyle w:val="24"/>
        <w:spacing w:line="360" w:lineRule="auto"/>
        <w:ind w:left="133" w:firstLine="1260" w:firstLineChars="525"/>
        <w:rPr>
          <w:rFonts w:hAnsi="宋体"/>
          <w:sz w:val="24"/>
          <w:szCs w:val="24"/>
          <w:highlight w:val="none"/>
          <w:u w:val="single"/>
        </w:rPr>
      </w:pPr>
    </w:p>
    <w:p>
      <w:pPr>
        <w:spacing w:line="360" w:lineRule="auto"/>
        <w:ind w:firstLine="480" w:firstLineChars="200"/>
        <w:rPr>
          <w:rFonts w:ascii="宋体" w:hAnsi="宋体"/>
          <w:sz w:val="24"/>
          <w:szCs w:val="24"/>
          <w:highlight w:val="none"/>
        </w:rPr>
      </w:pPr>
      <w:r>
        <w:rPr>
          <w:rFonts w:ascii="宋体" w:hAnsi="宋体"/>
          <w:sz w:val="24"/>
          <w:szCs w:val="24"/>
          <w:highlight w:val="none"/>
        </w:rPr>
        <w:t>日期：</w:t>
      </w:r>
      <w:r>
        <w:rPr>
          <w:rFonts w:hint="eastAsia" w:ascii="宋体" w:hAnsi="宋体"/>
          <w:sz w:val="24"/>
          <w:szCs w:val="24"/>
          <w:highlight w:val="none"/>
          <w:u w:val="single"/>
        </w:rPr>
        <w:t xml:space="preserve">        </w:t>
      </w:r>
      <w:r>
        <w:rPr>
          <w:rFonts w:ascii="宋体" w:hAnsi="宋体"/>
          <w:sz w:val="24"/>
          <w:szCs w:val="24"/>
          <w:highlight w:val="none"/>
        </w:rPr>
        <w:t>年</w:t>
      </w:r>
      <w:r>
        <w:rPr>
          <w:rFonts w:hint="eastAsia" w:ascii="宋体" w:hAnsi="宋体"/>
          <w:sz w:val="24"/>
          <w:szCs w:val="24"/>
          <w:highlight w:val="none"/>
          <w:u w:val="single"/>
        </w:rPr>
        <w:t xml:space="preserve">    </w:t>
      </w:r>
      <w:r>
        <w:rPr>
          <w:rFonts w:ascii="宋体" w:hAnsi="宋体"/>
          <w:sz w:val="24"/>
          <w:szCs w:val="24"/>
          <w:highlight w:val="none"/>
        </w:rPr>
        <w:t>月</w:t>
      </w:r>
      <w:r>
        <w:rPr>
          <w:rFonts w:hint="eastAsia" w:ascii="宋体" w:hAnsi="宋体"/>
          <w:sz w:val="24"/>
          <w:szCs w:val="24"/>
          <w:highlight w:val="none"/>
          <w:u w:val="single"/>
        </w:rPr>
        <w:t xml:space="preserve">    </w:t>
      </w:r>
      <w:r>
        <w:rPr>
          <w:rFonts w:ascii="宋体" w:hAnsi="宋体"/>
          <w:sz w:val="24"/>
          <w:szCs w:val="24"/>
          <w:highlight w:val="none"/>
        </w:rPr>
        <w:t>日</w:t>
      </w:r>
    </w:p>
    <w:p>
      <w:pPr>
        <w:pStyle w:val="24"/>
        <w:spacing w:line="360" w:lineRule="auto"/>
        <w:rPr>
          <w:rFonts w:hint="eastAsia" w:hAnsi="宋体"/>
          <w:highlight w:val="none"/>
        </w:rPr>
        <w:sectPr>
          <w:headerReference r:id="rId10" w:type="first"/>
          <w:pgSz w:w="11906" w:h="16838"/>
          <w:pgMar w:top="1440" w:right="987" w:bottom="1440" w:left="1440" w:header="720" w:footer="891" w:gutter="0"/>
          <w:cols w:space="720" w:num="1"/>
        </w:sectPr>
      </w:pPr>
    </w:p>
    <w:p>
      <w:pPr>
        <w:pStyle w:val="24"/>
        <w:spacing w:line="360" w:lineRule="auto"/>
        <w:rPr>
          <w:rFonts w:hAnsi="宋体"/>
          <w:b/>
          <w:sz w:val="24"/>
          <w:szCs w:val="24"/>
          <w:highlight w:val="none"/>
        </w:rPr>
      </w:pPr>
      <w:bookmarkStart w:id="129" w:name="_Toc402782197"/>
      <w:r>
        <w:rPr>
          <w:rFonts w:hint="eastAsia" w:hAnsi="宋体"/>
          <w:b/>
          <w:sz w:val="24"/>
          <w:szCs w:val="24"/>
          <w:highlight w:val="none"/>
        </w:rPr>
        <w:t>三</w:t>
      </w:r>
      <w:r>
        <w:rPr>
          <w:rFonts w:hAnsi="宋体"/>
          <w:b/>
          <w:sz w:val="24"/>
          <w:szCs w:val="24"/>
          <w:highlight w:val="none"/>
        </w:rPr>
        <w:t>、</w:t>
      </w:r>
      <w:bookmarkEnd w:id="129"/>
      <w:r>
        <w:rPr>
          <w:rFonts w:hint="eastAsia" w:hAnsi="宋体"/>
          <w:b/>
          <w:sz w:val="24"/>
          <w:szCs w:val="24"/>
          <w:highlight w:val="none"/>
        </w:rPr>
        <w:t>法定代表人身份证复印件</w:t>
      </w:r>
    </w:p>
    <w:p>
      <w:pPr>
        <w:pStyle w:val="24"/>
        <w:spacing w:line="360" w:lineRule="auto"/>
        <w:rPr>
          <w:rFonts w:hint="eastAsia" w:hAnsi="宋体"/>
          <w:b/>
          <w:sz w:val="24"/>
          <w:szCs w:val="24"/>
          <w:highlight w:val="none"/>
        </w:rPr>
      </w:pPr>
      <w:r>
        <w:rPr>
          <w:rFonts w:hAnsi="宋体"/>
          <w:b/>
          <w:sz w:val="24"/>
          <w:szCs w:val="24"/>
          <w:highlight w:val="none"/>
        </w:rPr>
        <w:br w:type="page"/>
      </w:r>
      <w:r>
        <w:rPr>
          <w:rFonts w:hint="eastAsia" w:hAnsi="宋体"/>
          <w:b/>
          <w:sz w:val="24"/>
          <w:szCs w:val="24"/>
          <w:highlight w:val="none"/>
        </w:rPr>
        <w:t>四、</w:t>
      </w:r>
      <w:r>
        <w:rPr>
          <w:rFonts w:hAnsi="宋体"/>
          <w:b/>
          <w:sz w:val="24"/>
          <w:szCs w:val="24"/>
          <w:highlight w:val="none"/>
        </w:rPr>
        <w:t>法人代表授权委托书</w:t>
      </w:r>
      <w:r>
        <w:rPr>
          <w:rFonts w:hint="eastAsia" w:hAnsi="宋体"/>
          <w:b/>
          <w:sz w:val="24"/>
          <w:szCs w:val="24"/>
          <w:highlight w:val="none"/>
        </w:rPr>
        <w:t>（如有）</w:t>
      </w:r>
    </w:p>
    <w:p>
      <w:pPr>
        <w:pStyle w:val="24"/>
        <w:spacing w:line="360" w:lineRule="auto"/>
        <w:rPr>
          <w:rFonts w:hint="eastAsia" w:hAnsi="宋体"/>
          <w:b/>
          <w:highlight w:val="none"/>
        </w:rPr>
      </w:pPr>
    </w:p>
    <w:p>
      <w:pPr>
        <w:pStyle w:val="24"/>
        <w:spacing w:line="360" w:lineRule="auto"/>
        <w:rPr>
          <w:rFonts w:hint="eastAsia" w:hAnsi="宋体"/>
          <w:b/>
          <w:highlight w:val="none"/>
        </w:rPr>
      </w:pPr>
    </w:p>
    <w:p>
      <w:pPr>
        <w:pStyle w:val="24"/>
        <w:spacing w:line="360" w:lineRule="auto"/>
        <w:rPr>
          <w:rFonts w:hint="eastAsia" w:hAnsi="宋体"/>
          <w:b/>
          <w:highlight w:val="none"/>
        </w:rPr>
      </w:pPr>
    </w:p>
    <w:p>
      <w:pPr>
        <w:pStyle w:val="24"/>
        <w:spacing w:after="120" w:afterLines="50" w:line="360" w:lineRule="auto"/>
        <w:jc w:val="center"/>
        <w:rPr>
          <w:rFonts w:hAnsi="宋体"/>
          <w:sz w:val="44"/>
          <w:highlight w:val="none"/>
        </w:rPr>
      </w:pPr>
      <w:r>
        <w:rPr>
          <w:rFonts w:hAnsi="宋体"/>
          <w:sz w:val="44"/>
          <w:highlight w:val="none"/>
        </w:rPr>
        <w:t>法人代表授</w:t>
      </w:r>
      <w:r>
        <w:rPr>
          <w:rFonts w:hAnsi="宋体"/>
          <w:sz w:val="44"/>
          <w:szCs w:val="52"/>
          <w:highlight w:val="none"/>
        </w:rPr>
        <w:t>权</w:t>
      </w:r>
      <w:r>
        <w:rPr>
          <w:rFonts w:hAnsi="宋体"/>
          <w:sz w:val="44"/>
          <w:highlight w:val="none"/>
        </w:rPr>
        <w:t>委托</w:t>
      </w:r>
      <w:r>
        <w:rPr>
          <w:rFonts w:hAnsi="宋体"/>
          <w:sz w:val="44"/>
          <w:szCs w:val="52"/>
          <w:highlight w:val="none"/>
        </w:rPr>
        <w:t>书</w:t>
      </w:r>
    </w:p>
    <w:p>
      <w:pPr>
        <w:pStyle w:val="24"/>
        <w:spacing w:after="120" w:afterLines="50" w:line="360" w:lineRule="auto"/>
        <w:jc w:val="center"/>
        <w:rPr>
          <w:rFonts w:hAnsi="宋体"/>
          <w:sz w:val="24"/>
          <w:szCs w:val="24"/>
          <w:highlight w:val="none"/>
        </w:rPr>
      </w:pPr>
    </w:p>
    <w:p>
      <w:pPr>
        <w:pStyle w:val="24"/>
        <w:snapToGrid w:val="0"/>
        <w:spacing w:line="360" w:lineRule="auto"/>
        <w:ind w:firstLine="480" w:firstLineChars="200"/>
        <w:jc w:val="left"/>
        <w:rPr>
          <w:rFonts w:hAnsi="宋体"/>
          <w:sz w:val="24"/>
          <w:szCs w:val="24"/>
          <w:highlight w:val="none"/>
        </w:rPr>
      </w:pPr>
      <w:r>
        <w:rPr>
          <w:rFonts w:hAnsi="宋体"/>
          <w:sz w:val="24"/>
          <w:szCs w:val="24"/>
          <w:highlight w:val="none"/>
        </w:rPr>
        <w:t>本授权委托书声明：我</w:t>
      </w:r>
      <w:r>
        <w:rPr>
          <w:rFonts w:hAnsi="宋体"/>
          <w:sz w:val="24"/>
          <w:szCs w:val="24"/>
          <w:highlight w:val="none"/>
          <w:u w:val="single"/>
        </w:rPr>
        <w:t xml:space="preserve">       [姓名]     </w:t>
      </w:r>
      <w:r>
        <w:rPr>
          <w:rFonts w:hAnsi="宋体"/>
          <w:sz w:val="24"/>
          <w:szCs w:val="24"/>
          <w:highlight w:val="none"/>
        </w:rPr>
        <w:t>系</w:t>
      </w:r>
      <w:r>
        <w:rPr>
          <w:rFonts w:hAnsi="宋体"/>
          <w:sz w:val="24"/>
          <w:szCs w:val="24"/>
          <w:highlight w:val="none"/>
          <w:u w:val="single"/>
        </w:rPr>
        <w:t xml:space="preserve">          [参选人名称]           </w:t>
      </w:r>
      <w:r>
        <w:rPr>
          <w:rFonts w:hAnsi="宋体"/>
          <w:sz w:val="24"/>
          <w:szCs w:val="24"/>
          <w:highlight w:val="none"/>
        </w:rPr>
        <w:t>的法定代表人，现授权委托</w:t>
      </w:r>
      <w:r>
        <w:rPr>
          <w:rFonts w:hAnsi="宋体"/>
          <w:sz w:val="24"/>
          <w:szCs w:val="24"/>
          <w:highlight w:val="none"/>
          <w:u w:val="single"/>
        </w:rPr>
        <w:t xml:space="preserve">      </w:t>
      </w:r>
      <w:r>
        <w:rPr>
          <w:rFonts w:hint="eastAsia" w:hAnsi="宋体"/>
          <w:sz w:val="24"/>
          <w:szCs w:val="24"/>
          <w:highlight w:val="none"/>
          <w:u w:val="single"/>
        </w:rPr>
        <w:t xml:space="preserve">  </w:t>
      </w:r>
      <w:r>
        <w:rPr>
          <w:rFonts w:hAnsi="宋体"/>
          <w:sz w:val="24"/>
          <w:szCs w:val="24"/>
          <w:highlight w:val="none"/>
          <w:u w:val="single"/>
        </w:rPr>
        <w:t xml:space="preserve">    [单位名称]              </w:t>
      </w:r>
      <w:r>
        <w:rPr>
          <w:rFonts w:hAnsi="宋体"/>
          <w:sz w:val="24"/>
          <w:szCs w:val="24"/>
          <w:highlight w:val="none"/>
        </w:rPr>
        <w:t>的</w:t>
      </w:r>
      <w:r>
        <w:rPr>
          <w:rFonts w:hAnsi="宋体"/>
          <w:sz w:val="24"/>
          <w:szCs w:val="24"/>
          <w:highlight w:val="none"/>
          <w:u w:val="single"/>
        </w:rPr>
        <w:t xml:space="preserve">  </w:t>
      </w:r>
      <w:r>
        <w:rPr>
          <w:rFonts w:hint="eastAsia" w:hAnsi="宋体"/>
          <w:sz w:val="24"/>
          <w:szCs w:val="24"/>
          <w:highlight w:val="none"/>
          <w:u w:val="single"/>
        </w:rPr>
        <w:t xml:space="preserve"> </w:t>
      </w:r>
      <w:r>
        <w:rPr>
          <w:rFonts w:hAnsi="宋体"/>
          <w:sz w:val="24"/>
          <w:szCs w:val="24"/>
          <w:highlight w:val="none"/>
          <w:u w:val="single"/>
        </w:rPr>
        <w:t xml:space="preserve">  [姓名]       </w:t>
      </w:r>
      <w:r>
        <w:rPr>
          <w:rFonts w:hAnsi="宋体"/>
          <w:sz w:val="24"/>
          <w:szCs w:val="24"/>
          <w:highlight w:val="none"/>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60" w:lineRule="auto"/>
        <w:ind w:firstLine="480" w:firstLineChars="200"/>
        <w:jc w:val="left"/>
        <w:rPr>
          <w:rFonts w:hAnsi="宋体"/>
          <w:sz w:val="24"/>
          <w:szCs w:val="24"/>
          <w:highlight w:val="none"/>
        </w:rPr>
      </w:pPr>
      <w:r>
        <w:rPr>
          <w:rFonts w:hAnsi="宋体"/>
          <w:sz w:val="24"/>
          <w:szCs w:val="24"/>
          <w:highlight w:val="none"/>
        </w:rPr>
        <w:t>授权有效期由</w:t>
      </w:r>
      <w:r>
        <w:rPr>
          <w:rFonts w:hint="eastAsia" w:hAnsi="宋体"/>
          <w:sz w:val="24"/>
          <w:szCs w:val="24"/>
          <w:highlight w:val="none"/>
          <w:u w:val="single"/>
        </w:rPr>
        <w:t xml:space="preserve">    </w:t>
      </w:r>
      <w:r>
        <w:rPr>
          <w:rFonts w:hAnsi="宋体"/>
          <w:sz w:val="24"/>
          <w:szCs w:val="24"/>
          <w:highlight w:val="none"/>
          <w:u w:val="single"/>
        </w:rPr>
        <w:t>年</w:t>
      </w:r>
      <w:r>
        <w:rPr>
          <w:rFonts w:hint="eastAsia" w:hAnsi="宋体"/>
          <w:sz w:val="24"/>
          <w:szCs w:val="24"/>
          <w:highlight w:val="none"/>
          <w:u w:val="single"/>
        </w:rPr>
        <w:t xml:space="preserve">  </w:t>
      </w:r>
      <w:r>
        <w:rPr>
          <w:rFonts w:hAnsi="宋体"/>
          <w:sz w:val="24"/>
          <w:szCs w:val="24"/>
          <w:highlight w:val="none"/>
          <w:u w:val="single"/>
        </w:rPr>
        <w:t>月</w:t>
      </w:r>
      <w:r>
        <w:rPr>
          <w:rFonts w:hint="eastAsia" w:hAnsi="宋体"/>
          <w:sz w:val="24"/>
          <w:szCs w:val="24"/>
          <w:highlight w:val="none"/>
          <w:u w:val="single"/>
        </w:rPr>
        <w:t xml:space="preserve">  </w:t>
      </w:r>
      <w:r>
        <w:rPr>
          <w:rFonts w:hAnsi="宋体"/>
          <w:sz w:val="24"/>
          <w:szCs w:val="24"/>
          <w:highlight w:val="none"/>
          <w:u w:val="single"/>
        </w:rPr>
        <w:t>日</w:t>
      </w:r>
      <w:r>
        <w:rPr>
          <w:rFonts w:hAnsi="宋体"/>
          <w:sz w:val="24"/>
          <w:szCs w:val="24"/>
          <w:highlight w:val="none"/>
        </w:rPr>
        <w:t>至</w:t>
      </w:r>
      <w:r>
        <w:rPr>
          <w:rFonts w:hint="eastAsia" w:hAnsi="宋体"/>
          <w:sz w:val="24"/>
          <w:szCs w:val="24"/>
          <w:highlight w:val="none"/>
          <w:u w:val="single"/>
        </w:rPr>
        <w:t xml:space="preserve">    </w:t>
      </w:r>
      <w:r>
        <w:rPr>
          <w:rFonts w:hAnsi="宋体"/>
          <w:sz w:val="24"/>
          <w:szCs w:val="24"/>
          <w:highlight w:val="none"/>
          <w:u w:val="single"/>
        </w:rPr>
        <w:t>年</w:t>
      </w:r>
      <w:r>
        <w:rPr>
          <w:rFonts w:hint="eastAsia" w:hAnsi="宋体"/>
          <w:sz w:val="24"/>
          <w:szCs w:val="24"/>
          <w:highlight w:val="none"/>
          <w:u w:val="single"/>
        </w:rPr>
        <w:t xml:space="preserve">  </w:t>
      </w:r>
      <w:r>
        <w:rPr>
          <w:rFonts w:hAnsi="宋体"/>
          <w:sz w:val="24"/>
          <w:szCs w:val="24"/>
          <w:highlight w:val="none"/>
          <w:u w:val="single"/>
        </w:rPr>
        <w:t>月</w:t>
      </w:r>
      <w:r>
        <w:rPr>
          <w:rFonts w:hint="eastAsia" w:hAnsi="宋体"/>
          <w:sz w:val="24"/>
          <w:szCs w:val="24"/>
          <w:highlight w:val="none"/>
          <w:u w:val="single"/>
        </w:rPr>
        <w:t xml:space="preserve">  </w:t>
      </w:r>
      <w:r>
        <w:rPr>
          <w:rFonts w:hAnsi="宋体"/>
          <w:sz w:val="24"/>
          <w:szCs w:val="24"/>
          <w:highlight w:val="none"/>
          <w:u w:val="single"/>
        </w:rPr>
        <w:t>日</w:t>
      </w:r>
      <w:r>
        <w:rPr>
          <w:rFonts w:hAnsi="宋体"/>
          <w:sz w:val="24"/>
          <w:szCs w:val="24"/>
          <w:highlight w:val="none"/>
        </w:rPr>
        <w:t>。</w:t>
      </w:r>
    </w:p>
    <w:p>
      <w:pPr>
        <w:pStyle w:val="24"/>
        <w:snapToGrid w:val="0"/>
        <w:spacing w:line="360" w:lineRule="auto"/>
        <w:ind w:firstLine="480" w:firstLineChars="200"/>
        <w:jc w:val="left"/>
        <w:rPr>
          <w:rFonts w:hAnsi="宋体"/>
          <w:sz w:val="24"/>
          <w:szCs w:val="24"/>
          <w:highlight w:val="none"/>
        </w:rPr>
      </w:pPr>
      <w:r>
        <w:rPr>
          <w:rFonts w:hAnsi="宋体"/>
          <w:sz w:val="24"/>
          <w:szCs w:val="24"/>
          <w:highlight w:val="none"/>
        </w:rPr>
        <w:t>代理人无转委托权，特此委托。</w:t>
      </w:r>
    </w:p>
    <w:p>
      <w:pPr>
        <w:pStyle w:val="24"/>
        <w:spacing w:line="360" w:lineRule="auto"/>
        <w:rPr>
          <w:rFonts w:hAnsi="宋体"/>
          <w:sz w:val="24"/>
          <w:szCs w:val="24"/>
          <w:highlight w:val="none"/>
        </w:rPr>
      </w:pPr>
    </w:p>
    <w:p>
      <w:pPr>
        <w:pStyle w:val="24"/>
        <w:spacing w:line="360" w:lineRule="auto"/>
        <w:ind w:firstLine="480" w:firstLineChars="200"/>
        <w:rPr>
          <w:rFonts w:hAnsi="宋体"/>
          <w:sz w:val="24"/>
          <w:szCs w:val="24"/>
          <w:highlight w:val="none"/>
          <w:u w:val="single"/>
        </w:rPr>
      </w:pPr>
      <w:r>
        <w:rPr>
          <w:rFonts w:hAnsi="宋体"/>
          <w:sz w:val="24"/>
          <w:szCs w:val="24"/>
          <w:highlight w:val="none"/>
        </w:rPr>
        <w:t>代理人：</w:t>
      </w:r>
      <w:r>
        <w:rPr>
          <w:rFonts w:hint="eastAsia" w:hAnsi="宋体"/>
          <w:sz w:val="24"/>
          <w:szCs w:val="24"/>
          <w:highlight w:val="none"/>
          <w:u w:val="single"/>
        </w:rPr>
        <w:t xml:space="preserve">                </w:t>
      </w:r>
      <w:r>
        <w:rPr>
          <w:rFonts w:hAnsi="宋体"/>
          <w:sz w:val="24"/>
          <w:szCs w:val="24"/>
          <w:highlight w:val="none"/>
        </w:rPr>
        <w:t>性别：</w:t>
      </w:r>
      <w:r>
        <w:rPr>
          <w:rFonts w:hint="eastAsia" w:hAnsi="宋体"/>
          <w:sz w:val="24"/>
          <w:szCs w:val="24"/>
          <w:highlight w:val="none"/>
          <w:u w:val="single"/>
        </w:rPr>
        <w:t xml:space="preserve">        </w:t>
      </w:r>
      <w:r>
        <w:rPr>
          <w:rFonts w:hAnsi="宋体"/>
          <w:sz w:val="24"/>
          <w:szCs w:val="24"/>
          <w:highlight w:val="none"/>
        </w:rPr>
        <w:t>年龄：</w:t>
      </w:r>
      <w:r>
        <w:rPr>
          <w:rFonts w:hint="eastAsia" w:hAnsi="宋体"/>
          <w:sz w:val="24"/>
          <w:szCs w:val="24"/>
          <w:highlight w:val="none"/>
          <w:u w:val="single"/>
        </w:rPr>
        <w:t xml:space="preserve">        </w:t>
      </w:r>
    </w:p>
    <w:p>
      <w:pPr>
        <w:pStyle w:val="24"/>
        <w:spacing w:line="360" w:lineRule="auto"/>
        <w:ind w:firstLine="480" w:firstLineChars="200"/>
        <w:rPr>
          <w:rFonts w:hAnsi="宋体"/>
          <w:sz w:val="24"/>
          <w:szCs w:val="24"/>
          <w:highlight w:val="none"/>
          <w:u w:val="single"/>
        </w:rPr>
      </w:pPr>
      <w:r>
        <w:rPr>
          <w:rFonts w:hAnsi="宋体"/>
          <w:sz w:val="24"/>
          <w:szCs w:val="24"/>
          <w:highlight w:val="none"/>
        </w:rPr>
        <w:t>身份证号码：</w:t>
      </w:r>
      <w:r>
        <w:rPr>
          <w:rFonts w:hint="eastAsia" w:hAnsi="宋体"/>
          <w:sz w:val="24"/>
          <w:szCs w:val="24"/>
          <w:highlight w:val="none"/>
          <w:u w:val="single"/>
        </w:rPr>
        <w:t xml:space="preserve">                          </w:t>
      </w:r>
      <w:r>
        <w:rPr>
          <w:rFonts w:hAnsi="宋体"/>
          <w:sz w:val="24"/>
          <w:szCs w:val="24"/>
          <w:highlight w:val="none"/>
        </w:rPr>
        <w:t>职务：</w:t>
      </w:r>
      <w:r>
        <w:rPr>
          <w:rFonts w:hint="eastAsia" w:hAnsi="宋体"/>
          <w:sz w:val="24"/>
          <w:szCs w:val="24"/>
          <w:highlight w:val="none"/>
          <w:u w:val="single"/>
        </w:rPr>
        <w:t xml:space="preserve">        </w:t>
      </w:r>
    </w:p>
    <w:p>
      <w:pPr>
        <w:pStyle w:val="24"/>
        <w:spacing w:line="360" w:lineRule="auto"/>
        <w:ind w:firstLine="480" w:firstLineChars="200"/>
        <w:rPr>
          <w:rFonts w:hAnsi="宋体"/>
          <w:sz w:val="24"/>
          <w:szCs w:val="24"/>
          <w:highlight w:val="none"/>
          <w:u w:val="single"/>
        </w:rPr>
      </w:pPr>
      <w:r>
        <w:rPr>
          <w:rFonts w:hAnsi="宋体"/>
          <w:sz w:val="24"/>
          <w:szCs w:val="24"/>
          <w:highlight w:val="none"/>
        </w:rPr>
        <w:t>参选人（盖章）：</w:t>
      </w:r>
      <w:r>
        <w:rPr>
          <w:rFonts w:hAnsi="宋体"/>
          <w:sz w:val="24"/>
          <w:szCs w:val="24"/>
          <w:highlight w:val="none"/>
          <w:u w:val="single"/>
        </w:rPr>
        <w:t xml:space="preserve">           [参选人名称]                         </w:t>
      </w:r>
    </w:p>
    <w:p>
      <w:pPr>
        <w:pStyle w:val="24"/>
        <w:spacing w:line="360" w:lineRule="auto"/>
        <w:ind w:firstLine="480" w:firstLineChars="200"/>
        <w:rPr>
          <w:rFonts w:hAnsi="宋体"/>
          <w:sz w:val="24"/>
          <w:szCs w:val="24"/>
          <w:highlight w:val="none"/>
        </w:rPr>
      </w:pPr>
      <w:r>
        <w:rPr>
          <w:rFonts w:hAnsi="宋体"/>
          <w:sz w:val="24"/>
          <w:szCs w:val="24"/>
          <w:highlight w:val="none"/>
        </w:rPr>
        <w:t>法定代表人（签字或盖章）：</w:t>
      </w:r>
    </w:p>
    <w:p>
      <w:pPr>
        <w:widowControl/>
        <w:spacing w:line="360" w:lineRule="auto"/>
        <w:ind w:firstLine="480" w:firstLineChars="200"/>
        <w:jc w:val="left"/>
        <w:rPr>
          <w:rFonts w:ascii="宋体" w:hAnsi="宋体"/>
          <w:bCs/>
          <w:sz w:val="24"/>
          <w:szCs w:val="24"/>
          <w:highlight w:val="none"/>
        </w:rPr>
      </w:pPr>
      <w:r>
        <w:rPr>
          <w:rFonts w:ascii="宋体" w:hAnsi="宋体"/>
          <w:sz w:val="24"/>
          <w:szCs w:val="24"/>
          <w:highlight w:val="none"/>
        </w:rPr>
        <w:t>授权委托日期：</w:t>
      </w:r>
      <w:r>
        <w:rPr>
          <w:rFonts w:hint="eastAsia" w:ascii="宋体" w:hAnsi="宋体"/>
          <w:sz w:val="24"/>
          <w:szCs w:val="24"/>
          <w:highlight w:val="none"/>
          <w:u w:val="single"/>
        </w:rPr>
        <w:t xml:space="preserve">        </w:t>
      </w:r>
      <w:r>
        <w:rPr>
          <w:rFonts w:ascii="宋体" w:hAnsi="宋体"/>
          <w:sz w:val="24"/>
          <w:szCs w:val="24"/>
          <w:highlight w:val="none"/>
          <w:u w:val="single"/>
        </w:rPr>
        <w:t>年</w:t>
      </w:r>
      <w:r>
        <w:rPr>
          <w:rFonts w:hint="eastAsia" w:ascii="宋体" w:hAnsi="宋体"/>
          <w:sz w:val="24"/>
          <w:szCs w:val="24"/>
          <w:highlight w:val="none"/>
          <w:u w:val="single"/>
        </w:rPr>
        <w:t xml:space="preserve">    </w:t>
      </w:r>
      <w:r>
        <w:rPr>
          <w:rFonts w:ascii="宋体" w:hAnsi="宋体"/>
          <w:sz w:val="24"/>
          <w:szCs w:val="24"/>
          <w:highlight w:val="none"/>
          <w:u w:val="single"/>
        </w:rPr>
        <w:t>月</w:t>
      </w:r>
      <w:r>
        <w:rPr>
          <w:rFonts w:hint="eastAsia" w:ascii="宋体" w:hAnsi="宋体"/>
          <w:sz w:val="24"/>
          <w:szCs w:val="24"/>
          <w:highlight w:val="none"/>
          <w:u w:val="single"/>
        </w:rPr>
        <w:t xml:space="preserve">    </w:t>
      </w:r>
      <w:r>
        <w:rPr>
          <w:rFonts w:ascii="宋体" w:hAnsi="宋体"/>
          <w:sz w:val="24"/>
          <w:szCs w:val="24"/>
          <w:highlight w:val="none"/>
          <w:u w:val="single"/>
        </w:rPr>
        <w:t>日</w:t>
      </w:r>
    </w:p>
    <w:p>
      <w:pPr>
        <w:pStyle w:val="24"/>
        <w:spacing w:line="360" w:lineRule="auto"/>
        <w:rPr>
          <w:rFonts w:hAnsi="宋体"/>
          <w:b/>
          <w:sz w:val="24"/>
          <w:szCs w:val="24"/>
          <w:highlight w:val="none"/>
        </w:rPr>
      </w:pPr>
    </w:p>
    <w:p>
      <w:pPr>
        <w:pStyle w:val="24"/>
        <w:spacing w:line="360" w:lineRule="auto"/>
        <w:rPr>
          <w:rFonts w:hint="eastAsia" w:hAnsi="宋体"/>
          <w:b/>
          <w:sz w:val="24"/>
          <w:szCs w:val="24"/>
          <w:highlight w:val="none"/>
        </w:rPr>
      </w:pPr>
      <w:bookmarkStart w:id="130" w:name="_Toc276575955"/>
      <w:bookmarkStart w:id="131" w:name="_Toc402782198"/>
      <w:r>
        <w:rPr>
          <w:rFonts w:hAnsi="宋体"/>
          <w:b/>
          <w:highlight w:val="none"/>
        </w:rPr>
        <w:br w:type="page"/>
      </w:r>
      <w:r>
        <w:rPr>
          <w:rFonts w:hint="eastAsia" w:hAnsi="宋体"/>
          <w:b/>
          <w:sz w:val="24"/>
          <w:szCs w:val="24"/>
          <w:highlight w:val="none"/>
        </w:rPr>
        <w:t>五、被授权人身份证复印件（如有）</w:t>
      </w:r>
    </w:p>
    <w:p>
      <w:pPr>
        <w:widowControl/>
        <w:overflowPunct w:val="0"/>
        <w:autoSpaceDE w:val="0"/>
        <w:autoSpaceDN w:val="0"/>
        <w:adjustRightInd w:val="0"/>
        <w:spacing w:line="360" w:lineRule="auto"/>
        <w:ind w:firstLine="482" w:firstLineChars="200"/>
        <w:jc w:val="left"/>
        <w:textAlignment w:val="baseline"/>
        <w:rPr>
          <w:rFonts w:hint="eastAsia" w:ascii="宋体" w:hAnsi="宋体"/>
          <w:b/>
          <w:sz w:val="24"/>
          <w:szCs w:val="24"/>
          <w:highlight w:val="none"/>
        </w:rPr>
      </w:pPr>
      <w:r>
        <w:rPr>
          <w:rFonts w:hAnsi="宋体"/>
          <w:b/>
          <w:sz w:val="24"/>
          <w:szCs w:val="24"/>
          <w:highlight w:val="none"/>
        </w:rPr>
        <w:br w:type="page"/>
      </w:r>
      <w:bookmarkEnd w:id="130"/>
      <w:bookmarkEnd w:id="131"/>
      <w:bookmarkStart w:id="132" w:name="_Toc402782199"/>
      <w:bookmarkStart w:id="133" w:name="_Toc276575956"/>
      <w:r>
        <w:rPr>
          <w:rFonts w:hint="eastAsia" w:ascii="宋体" w:hAnsi="宋体"/>
          <w:b/>
          <w:sz w:val="24"/>
          <w:szCs w:val="24"/>
          <w:highlight w:val="none"/>
        </w:rPr>
        <w:t>六、《</w:t>
      </w:r>
      <w:r>
        <w:rPr>
          <w:rFonts w:hint="eastAsia" w:hAnsi="宋体" w:eastAsia="宋体" w:cs="Times New Roman"/>
          <w:b/>
          <w:bCs/>
          <w:sz w:val="24"/>
          <w:szCs w:val="22"/>
          <w:highlight w:val="none"/>
          <w:u w:val="single"/>
        </w:rPr>
        <w:t>深铁瑞城系列营销活动与现场包装服</w:t>
      </w:r>
      <w:r>
        <w:rPr>
          <w:rFonts w:hint="eastAsia" w:hAnsi="宋体"/>
          <w:b/>
          <w:bCs/>
          <w:sz w:val="24"/>
          <w:szCs w:val="22"/>
          <w:highlight w:val="none"/>
          <w:u w:val="single"/>
        </w:rPr>
        <w:t>务</w:t>
      </w:r>
      <w:r>
        <w:rPr>
          <w:rFonts w:hint="eastAsia" w:ascii="宋体" w:hAnsi="宋体"/>
          <w:b/>
          <w:sz w:val="24"/>
          <w:szCs w:val="24"/>
          <w:highlight w:val="none"/>
        </w:rPr>
        <w:t>方案》</w:t>
      </w:r>
    </w:p>
    <w:p>
      <w:pPr>
        <w:tabs>
          <w:tab w:val="left" w:pos="5580"/>
        </w:tabs>
        <w:topLinePunct/>
        <w:adjustRightInd w:val="0"/>
        <w:snapToGrid w:val="0"/>
        <w:spacing w:line="360" w:lineRule="auto"/>
        <w:ind w:firstLine="480" w:firstLineChars="200"/>
        <w:jc w:val="left"/>
        <w:rPr>
          <w:rFonts w:ascii="宋体" w:hAnsi="宋体"/>
          <w:sz w:val="24"/>
          <w:szCs w:val="24"/>
          <w:highlight w:val="none"/>
        </w:rPr>
      </w:pPr>
      <w:r>
        <w:rPr>
          <w:rFonts w:ascii="宋体" w:hAnsi="宋体" w:cs="黑体"/>
          <w:sz w:val="24"/>
          <w:szCs w:val="24"/>
          <w:highlight w:val="none"/>
        </w:rPr>
        <w:t>（参选人应编制完整全面的</w:t>
      </w:r>
      <w:r>
        <w:rPr>
          <w:rFonts w:hint="eastAsia" w:ascii="宋体" w:hAnsi="宋体" w:cs="黑体"/>
          <w:sz w:val="24"/>
          <w:szCs w:val="24"/>
          <w:highlight w:val="none"/>
        </w:rPr>
        <w:t>参选</w:t>
      </w:r>
      <w:r>
        <w:rPr>
          <w:rFonts w:ascii="宋体" w:hAnsi="宋体" w:cs="黑体"/>
          <w:sz w:val="24"/>
          <w:szCs w:val="24"/>
          <w:highlight w:val="none"/>
        </w:rPr>
        <w:t>方案，内容</w:t>
      </w:r>
      <w:r>
        <w:rPr>
          <w:rFonts w:hint="eastAsia" w:ascii="宋体" w:hAnsi="宋体" w:cs="黑体"/>
          <w:sz w:val="24"/>
          <w:szCs w:val="24"/>
          <w:highlight w:val="none"/>
        </w:rPr>
        <w:t>全面</w:t>
      </w:r>
      <w:r>
        <w:rPr>
          <w:rFonts w:ascii="宋体" w:hAnsi="宋体" w:cs="黑体"/>
          <w:sz w:val="24"/>
          <w:szCs w:val="24"/>
          <w:highlight w:val="none"/>
        </w:rPr>
        <w:t>，描述要清楚，格式自拟）</w:t>
      </w:r>
    </w:p>
    <w:p>
      <w:pPr>
        <w:widowControl/>
        <w:overflowPunct w:val="0"/>
        <w:autoSpaceDE w:val="0"/>
        <w:autoSpaceDN w:val="0"/>
        <w:adjustRightInd w:val="0"/>
        <w:spacing w:line="360" w:lineRule="auto"/>
        <w:ind w:firstLine="480" w:firstLineChars="200"/>
        <w:jc w:val="left"/>
        <w:textAlignment w:val="baseline"/>
        <w:rPr>
          <w:rFonts w:ascii="宋体" w:hAnsi="宋体"/>
          <w:sz w:val="24"/>
          <w:szCs w:val="24"/>
          <w:highlight w:val="none"/>
        </w:rPr>
      </w:pPr>
    </w:p>
    <w:p>
      <w:pPr>
        <w:numPr>
          <w:ilvl w:val="0"/>
          <w:numId w:val="4"/>
        </w:numPr>
        <w:spacing w:line="360" w:lineRule="auto"/>
        <w:ind w:left="450" w:leftChars="0" w:hanging="240" w:firstLineChars="0"/>
        <w:rPr>
          <w:rFonts w:ascii="宋体" w:hAnsi="宋体"/>
          <w:b/>
          <w:sz w:val="24"/>
          <w:szCs w:val="24"/>
          <w:highlight w:val="none"/>
        </w:rPr>
      </w:pPr>
      <w:r>
        <w:rPr>
          <w:rFonts w:hint="eastAsia" w:ascii="宋体" w:hAnsi="宋体"/>
          <w:b/>
          <w:sz w:val="24"/>
          <w:szCs w:val="24"/>
          <w:highlight w:val="none"/>
        </w:rPr>
        <w:t>公司</w:t>
      </w:r>
      <w:r>
        <w:rPr>
          <w:rFonts w:hint="eastAsia" w:ascii="宋体" w:hAnsi="宋体"/>
          <w:b/>
          <w:sz w:val="24"/>
          <w:szCs w:val="24"/>
          <w:highlight w:val="none"/>
          <w:lang w:val="en-US" w:eastAsia="zh-CN"/>
        </w:rPr>
        <w:t>营销执照</w:t>
      </w:r>
      <w:r>
        <w:rPr>
          <w:rFonts w:hint="eastAsia" w:ascii="宋体" w:hAnsi="宋体"/>
          <w:b/>
          <w:sz w:val="24"/>
          <w:szCs w:val="24"/>
          <w:highlight w:val="none"/>
        </w:rPr>
        <w:t>（需盖公章）</w:t>
      </w:r>
    </w:p>
    <w:p>
      <w:pPr>
        <w:spacing w:line="360" w:lineRule="auto"/>
        <w:ind w:left="660"/>
        <w:rPr>
          <w:rFonts w:hint="eastAsia" w:ascii="宋体" w:hAnsi="宋体"/>
          <w:b/>
          <w:sz w:val="24"/>
          <w:szCs w:val="24"/>
          <w:highlight w:val="none"/>
        </w:rPr>
      </w:pPr>
    </w:p>
    <w:p>
      <w:pPr>
        <w:numPr>
          <w:ilvl w:val="0"/>
          <w:numId w:val="4"/>
        </w:numPr>
        <w:spacing w:line="360" w:lineRule="auto"/>
        <w:ind w:left="450" w:leftChars="0" w:hanging="240" w:firstLineChars="0"/>
        <w:rPr>
          <w:rFonts w:hint="eastAsia" w:ascii="宋体" w:hAnsi="宋体" w:cs="黑体"/>
          <w:b/>
          <w:bCs/>
          <w:sz w:val="24"/>
          <w:szCs w:val="24"/>
          <w:highlight w:val="none"/>
        </w:rPr>
      </w:pPr>
      <w:r>
        <w:rPr>
          <w:rFonts w:hint="eastAsia" w:ascii="宋体" w:hAnsi="宋体" w:eastAsia="宋体" w:cs="Times New Roman"/>
          <w:color w:val="auto"/>
          <w:kern w:val="0"/>
          <w:sz w:val="24"/>
          <w:szCs w:val="24"/>
          <w:highlight w:val="none"/>
          <w:lang w:val="zh-CN" w:eastAsia="zh-CN" w:bidi="ar-SA"/>
        </w:rPr>
        <w:t>2020年1月1日至今，服务全国50强或深圳20强房地产开发公司品牌（全国50强排名参考2015-2020年中指研究院或易居克而瑞数据，深圳20强排名参考2015-2020年深圳房协数据）在北上广深一线城市的项目或品牌的活动或美陈案例，且合同金额在50万以上的至少1个（证明材料均提供合同复印件，需包含合同关键页：服务内容、服务期限、盖章签署页等内容，均需盖公章）。</w:t>
      </w: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spacing w:line="360" w:lineRule="auto"/>
        <w:rPr>
          <w:rFonts w:hint="eastAsia" w:ascii="宋体" w:hAnsi="宋体" w:cs="黑体"/>
          <w:b/>
          <w:bCs/>
          <w:sz w:val="24"/>
          <w:szCs w:val="24"/>
          <w:highlight w:val="none"/>
        </w:rPr>
      </w:pPr>
    </w:p>
    <w:p>
      <w:pPr>
        <w:widowControl/>
        <w:overflowPunct w:val="0"/>
        <w:autoSpaceDE w:val="0"/>
        <w:autoSpaceDN w:val="0"/>
        <w:adjustRightInd w:val="0"/>
        <w:spacing w:line="360" w:lineRule="auto"/>
        <w:jc w:val="left"/>
        <w:textAlignment w:val="baseline"/>
        <w:rPr>
          <w:rFonts w:hint="eastAsia" w:ascii="宋体" w:hAnsi="宋体"/>
          <w:b/>
          <w:bCs/>
          <w:sz w:val="24"/>
          <w:szCs w:val="24"/>
          <w:highlight w:val="none"/>
        </w:rPr>
        <w:sectPr>
          <w:footerReference r:id="rId11" w:type="default"/>
          <w:pgSz w:w="11907" w:h="16840"/>
          <w:pgMar w:top="1440" w:right="1440" w:bottom="1440" w:left="1440" w:header="720" w:footer="992" w:gutter="0"/>
          <w:cols w:space="720" w:num="1"/>
          <w:docGrid w:linePitch="312" w:charSpace="0"/>
        </w:sectPr>
      </w:pPr>
    </w:p>
    <w:bookmarkEnd w:id="120"/>
    <w:bookmarkEnd w:id="121"/>
    <w:bookmarkEnd w:id="122"/>
    <w:bookmarkEnd w:id="123"/>
    <w:bookmarkEnd w:id="124"/>
    <w:bookmarkEnd w:id="125"/>
    <w:bookmarkEnd w:id="132"/>
    <w:bookmarkEnd w:id="133"/>
    <w:p>
      <w:pPr>
        <w:spacing w:line="360" w:lineRule="auto"/>
        <w:rPr>
          <w:rFonts w:hint="eastAsia" w:ascii="宋体" w:hAnsi="宋体"/>
          <w:spacing w:val="36"/>
          <w:sz w:val="44"/>
          <w:szCs w:val="44"/>
          <w:highlight w:val="none"/>
        </w:rPr>
      </w:pPr>
    </w:p>
    <w:p>
      <w:pPr>
        <w:tabs>
          <w:tab w:val="left" w:pos="1410"/>
        </w:tabs>
        <w:spacing w:line="360" w:lineRule="auto"/>
        <w:jc w:val="center"/>
        <w:rPr>
          <w:rFonts w:ascii="宋体" w:hAnsi="宋体"/>
          <w:b/>
          <w:spacing w:val="36"/>
          <w:sz w:val="44"/>
          <w:szCs w:val="44"/>
          <w:highlight w:val="none"/>
        </w:rPr>
      </w:pPr>
      <w:r>
        <w:rPr>
          <w:rFonts w:hint="eastAsia" w:ascii="宋体" w:hAnsi="宋体"/>
          <w:b/>
          <w:spacing w:val="36"/>
          <w:sz w:val="44"/>
          <w:szCs w:val="44"/>
          <w:highlight w:val="none"/>
        </w:rPr>
        <w:t>第二章</w:t>
      </w:r>
    </w:p>
    <w:p>
      <w:pPr>
        <w:spacing w:line="360" w:lineRule="auto"/>
        <w:jc w:val="center"/>
        <w:rPr>
          <w:rFonts w:ascii="宋体" w:hAnsi="宋体"/>
          <w:spacing w:val="36"/>
          <w:sz w:val="44"/>
          <w:szCs w:val="44"/>
          <w:highlight w:val="none"/>
        </w:rPr>
      </w:pPr>
    </w:p>
    <w:p>
      <w:pPr>
        <w:spacing w:line="360" w:lineRule="auto"/>
        <w:jc w:val="center"/>
        <w:rPr>
          <w:rFonts w:hint="eastAsia" w:ascii="宋体" w:hAnsi="宋体"/>
          <w:b/>
          <w:spacing w:val="36"/>
          <w:sz w:val="44"/>
          <w:szCs w:val="44"/>
          <w:highlight w:val="none"/>
        </w:rPr>
      </w:pPr>
      <w:r>
        <w:rPr>
          <w:rFonts w:ascii="宋体" w:hAnsi="宋体"/>
          <w:b/>
          <w:spacing w:val="36"/>
          <w:sz w:val="44"/>
          <w:szCs w:val="44"/>
          <w:highlight w:val="none"/>
        </w:rPr>
        <w:t>深圳市地铁集团有限公司</w:t>
      </w:r>
    </w:p>
    <w:p>
      <w:pPr>
        <w:spacing w:line="360" w:lineRule="auto"/>
        <w:jc w:val="center"/>
        <w:rPr>
          <w:rFonts w:hint="eastAsia" w:ascii="宋体" w:hAnsi="宋体"/>
          <w:b/>
          <w:spacing w:val="36"/>
          <w:sz w:val="44"/>
          <w:szCs w:val="44"/>
          <w:highlight w:val="none"/>
        </w:rPr>
      </w:pPr>
      <w:r>
        <w:rPr>
          <w:rFonts w:hint="eastAsia" w:ascii="宋体" w:hAnsi="宋体" w:eastAsia="宋体" w:cs="宋体"/>
          <w:b/>
          <w:sz w:val="44"/>
          <w:szCs w:val="44"/>
          <w:highlight w:val="none"/>
        </w:rPr>
        <w:t>深铁瑞城系列营销活动与现场包装</w:t>
      </w:r>
      <w:r>
        <w:rPr>
          <w:rFonts w:hint="eastAsia" w:ascii="宋体" w:hAnsi="宋体" w:cs="宋体"/>
          <w:b/>
          <w:sz w:val="44"/>
          <w:szCs w:val="44"/>
          <w:highlight w:val="none"/>
        </w:rPr>
        <w:t>服务</w:t>
      </w:r>
    </w:p>
    <w:p>
      <w:pPr>
        <w:pStyle w:val="24"/>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4"/>
        <w:spacing w:line="360" w:lineRule="auto"/>
        <w:jc w:val="center"/>
        <w:rPr>
          <w:rFonts w:hAnsi="宋体"/>
          <w:bCs/>
          <w:sz w:val="17"/>
          <w:szCs w:val="17"/>
          <w:highlight w:val="none"/>
        </w:rPr>
      </w:pPr>
    </w:p>
    <w:p>
      <w:pPr>
        <w:pStyle w:val="24"/>
        <w:spacing w:line="360" w:lineRule="auto"/>
        <w:jc w:val="center"/>
        <w:rPr>
          <w:rFonts w:hAnsi="宋体"/>
          <w:b/>
          <w:bCs/>
          <w:sz w:val="52"/>
          <w:szCs w:val="52"/>
          <w:highlight w:val="none"/>
        </w:rPr>
      </w:pPr>
      <w:r>
        <w:rPr>
          <w:rFonts w:hint="eastAsia" w:hAnsi="宋体"/>
          <w:b/>
          <w:bCs/>
          <w:sz w:val="52"/>
          <w:szCs w:val="52"/>
          <w:highlight w:val="none"/>
        </w:rPr>
        <w:t>商务标书</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4"/>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 xml:space="preserve">日   期：    年  </w:t>
      </w:r>
      <w:r>
        <w:rPr>
          <w:rFonts w:ascii="宋体" w:hAnsi="宋体"/>
          <w:b/>
          <w:bCs/>
          <w:sz w:val="28"/>
          <w:szCs w:val="28"/>
          <w:highlight w:val="none"/>
        </w:rPr>
        <w:t xml:space="preserve"> </w:t>
      </w:r>
      <w:r>
        <w:rPr>
          <w:rFonts w:hint="eastAsia" w:ascii="宋体" w:hAnsi="宋体"/>
          <w:b/>
          <w:bCs/>
          <w:sz w:val="28"/>
          <w:szCs w:val="28"/>
          <w:highlight w:val="none"/>
        </w:rPr>
        <w:t xml:space="preserve">月 </w:t>
      </w:r>
      <w:r>
        <w:rPr>
          <w:rFonts w:ascii="宋体" w:hAnsi="宋体"/>
          <w:b/>
          <w:bCs/>
          <w:sz w:val="28"/>
          <w:szCs w:val="28"/>
          <w:highlight w:val="none"/>
        </w:rPr>
        <w:t xml:space="preserve"> </w:t>
      </w:r>
      <w:r>
        <w:rPr>
          <w:rFonts w:hint="eastAsia" w:ascii="宋体" w:hAnsi="宋体"/>
          <w:b/>
          <w:bCs/>
          <w:sz w:val="28"/>
          <w:szCs w:val="28"/>
          <w:highlight w:val="none"/>
        </w:rPr>
        <w:t xml:space="preserve"> 日</w:t>
      </w:r>
    </w:p>
    <w:p>
      <w:pPr>
        <w:pStyle w:val="5"/>
        <w:spacing w:line="360" w:lineRule="auto"/>
        <w:rPr>
          <w:rFonts w:ascii="宋体" w:hAnsi="宋体"/>
          <w:szCs w:val="24"/>
          <w:highlight w:val="none"/>
        </w:rPr>
      </w:pPr>
      <w:r>
        <w:rPr>
          <w:rFonts w:ascii="宋体" w:hAnsi="宋体"/>
          <w:sz w:val="24"/>
          <w:highlight w:val="none"/>
        </w:rPr>
        <w:br w:type="page"/>
      </w:r>
      <w:bookmarkStart w:id="134" w:name="_Toc518494151"/>
      <w:bookmarkStart w:id="135" w:name="_Toc57731987"/>
      <w:r>
        <w:rPr>
          <w:rFonts w:hint="eastAsia"/>
          <w:highlight w:val="none"/>
        </w:rPr>
        <w:t>商务标书目录</w:t>
      </w:r>
      <w:bookmarkEnd w:id="134"/>
      <w:bookmarkEnd w:id="135"/>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highlight w:val="none"/>
        </w:rPr>
      </w:pPr>
      <w:r>
        <w:rPr>
          <w:rFonts w:hint="eastAsia" w:ascii="宋体" w:hAnsi="宋体"/>
          <w:bCs/>
          <w:sz w:val="24"/>
          <w:szCs w:val="24"/>
          <w:highlight w:val="none"/>
        </w:rPr>
        <w:t>一、参选函</w:t>
      </w:r>
    </w:p>
    <w:p>
      <w:pPr>
        <w:widowControl/>
        <w:overflowPunct w:val="0"/>
        <w:autoSpaceDE w:val="0"/>
        <w:autoSpaceDN w:val="0"/>
        <w:adjustRightInd w:val="0"/>
        <w:spacing w:line="360" w:lineRule="auto"/>
        <w:ind w:firstLine="360" w:firstLineChars="150"/>
        <w:jc w:val="left"/>
        <w:textAlignment w:val="baseline"/>
        <w:rPr>
          <w:rFonts w:hint="eastAsia" w:ascii="宋体" w:hAnsi="宋体"/>
          <w:bCs/>
          <w:sz w:val="24"/>
          <w:szCs w:val="24"/>
          <w:highlight w:val="none"/>
        </w:rPr>
      </w:pPr>
      <w:r>
        <w:rPr>
          <w:rFonts w:hint="eastAsia" w:ascii="宋体" w:hAnsi="宋体"/>
          <w:bCs/>
          <w:sz w:val="24"/>
          <w:szCs w:val="24"/>
          <w:highlight w:val="none"/>
        </w:rPr>
        <w:t>二、报价表</w:t>
      </w:r>
    </w:p>
    <w:p>
      <w:pPr>
        <w:pStyle w:val="24"/>
        <w:spacing w:line="360" w:lineRule="auto"/>
        <w:rPr>
          <w:rFonts w:hAnsi="宋体"/>
          <w:b/>
          <w:sz w:val="24"/>
          <w:szCs w:val="24"/>
          <w:highlight w:val="none"/>
        </w:rPr>
      </w:pPr>
      <w:r>
        <w:rPr>
          <w:rFonts w:hAnsi="宋体"/>
          <w:kern w:val="2"/>
          <w:sz w:val="24"/>
          <w:highlight w:val="none"/>
        </w:rPr>
        <w:br w:type="page"/>
      </w:r>
      <w:r>
        <w:rPr>
          <w:rFonts w:hint="eastAsia" w:hAnsi="宋体"/>
          <w:b/>
          <w:sz w:val="24"/>
          <w:szCs w:val="24"/>
          <w:highlight w:val="none"/>
        </w:rPr>
        <w:t>一、参选函格式</w:t>
      </w:r>
    </w:p>
    <w:p>
      <w:pPr>
        <w:pStyle w:val="24"/>
        <w:spacing w:before="120" w:beforeLines="50" w:line="360" w:lineRule="auto"/>
        <w:jc w:val="center"/>
        <w:rPr>
          <w:rFonts w:hAnsi="宋体"/>
          <w:b/>
          <w:sz w:val="44"/>
          <w:szCs w:val="44"/>
          <w:highlight w:val="none"/>
        </w:rPr>
      </w:pPr>
      <w:r>
        <w:rPr>
          <w:rFonts w:hint="eastAsia" w:hAnsi="宋体"/>
          <w:b/>
          <w:sz w:val="44"/>
          <w:szCs w:val="44"/>
          <w:highlight w:val="none"/>
        </w:rPr>
        <w:t>参选</w:t>
      </w:r>
      <w:r>
        <w:rPr>
          <w:rFonts w:hAnsi="宋体"/>
          <w:b/>
          <w:sz w:val="44"/>
          <w:szCs w:val="44"/>
          <w:highlight w:val="none"/>
        </w:rPr>
        <w:t>函</w:t>
      </w:r>
    </w:p>
    <w:p>
      <w:pPr>
        <w:spacing w:line="360" w:lineRule="auto"/>
        <w:ind w:firstLine="480" w:firstLineChars="200"/>
        <w:rPr>
          <w:rFonts w:hint="eastAsia" w:ascii="宋体" w:hAnsi="宋体" w:cs="宋体"/>
          <w:sz w:val="24"/>
          <w:szCs w:val="24"/>
          <w:highlight w:val="none"/>
          <w:lang w:val="zh-CN"/>
        </w:rPr>
      </w:pPr>
      <w:r>
        <w:rPr>
          <w:rFonts w:hint="eastAsia" w:ascii="宋体" w:hAnsi="宋体" w:cs="宋体"/>
          <w:sz w:val="24"/>
          <w:szCs w:val="24"/>
          <w:highlight w:val="none"/>
          <w:lang w:val="zh-CN"/>
        </w:rPr>
        <w:t>致：深圳市地铁集团有限公司</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1.经分析研究了贵司提供的比选文件，经研究后，我方愿以报价____万（含税）（大写:_________ ____）作为</w:t>
      </w:r>
      <w:r>
        <w:rPr>
          <w:rFonts w:hint="eastAsia" w:ascii="宋体" w:hAnsi="宋体" w:eastAsia="宋体" w:cs="宋体"/>
          <w:sz w:val="24"/>
          <w:szCs w:val="24"/>
          <w:highlight w:val="none"/>
        </w:rPr>
        <w:t>深铁瑞城系列营销活动与现场包装服务</w:t>
      </w:r>
      <w:r>
        <w:rPr>
          <w:rFonts w:hint="eastAsia" w:ascii="宋体" w:hAnsi="宋体" w:cs="宋体"/>
          <w:sz w:val="24"/>
          <w:szCs w:val="24"/>
          <w:highlight w:val="none"/>
        </w:rPr>
        <w:t>项目报价，其中</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系列营销活动</w:t>
      </w:r>
      <w:r>
        <w:rPr>
          <w:rFonts w:hint="eastAsia" w:ascii="宋体" w:hAnsi="宋体" w:cs="宋体"/>
          <w:sz w:val="24"/>
          <w:szCs w:val="24"/>
          <w:highlight w:val="none"/>
        </w:rPr>
        <w:t>合同金额为人民币      元（含税）（大写：         ）、</w:t>
      </w:r>
      <w:r>
        <w:rPr>
          <w:rFonts w:hint="eastAsia" w:ascii="宋体" w:hAnsi="宋体" w:cs="宋体"/>
          <w:sz w:val="24"/>
          <w:szCs w:val="24"/>
          <w:highlight w:val="none"/>
          <w:lang w:val="en-US" w:eastAsia="zh-CN"/>
        </w:rPr>
        <w:t>现场包装服务</w:t>
      </w:r>
      <w:r>
        <w:rPr>
          <w:rFonts w:hint="eastAsia" w:ascii="宋体" w:hAnsi="宋体" w:cs="宋体"/>
          <w:sz w:val="24"/>
          <w:szCs w:val="24"/>
          <w:highlight w:val="none"/>
        </w:rPr>
        <w:t>合同金额为人民币      元（含税）（大写：         ）并按合同条件、比选文件、参选文件以及国家和地方有关规定的要求，承担并完成本项目的任务。</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2.我方对贵司比选文件中的合同条件无保留、无条件同意，特此声明及承诺。</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3.如果贵公司接受我方的参选，我方保证按合同规定的期限完成</w:t>
      </w:r>
      <w:r>
        <w:rPr>
          <w:rFonts w:hint="eastAsia" w:ascii="宋体" w:hAnsi="宋体" w:eastAsia="宋体" w:cs="宋体"/>
          <w:sz w:val="24"/>
          <w:szCs w:val="24"/>
          <w:highlight w:val="none"/>
        </w:rPr>
        <w:t>深铁瑞城系列营销活动与现场包装服务</w:t>
      </w:r>
      <w:r>
        <w:rPr>
          <w:rFonts w:hint="eastAsia" w:ascii="宋体" w:hAnsi="宋体" w:cs="宋体"/>
          <w:sz w:val="24"/>
          <w:szCs w:val="24"/>
          <w:highlight w:val="none"/>
        </w:rPr>
        <w:t>项目等相关工作。</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4.我方同意在规定的递交参选书截止之日起180天内遵守本参选。在该期限期满之前，本报价对我方始终有约束力，并可随时被接受。</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5.如果我方中选，我方保证在接到比选人通知中规定的日期内开始</w:t>
      </w:r>
      <w:r>
        <w:rPr>
          <w:rFonts w:hint="eastAsia" w:ascii="宋体" w:hAnsi="宋体" w:eastAsia="宋体" w:cs="宋体"/>
          <w:sz w:val="24"/>
          <w:szCs w:val="24"/>
          <w:highlight w:val="none"/>
        </w:rPr>
        <w:t>深铁瑞城系列营销活动与现场包装</w:t>
      </w:r>
      <w:r>
        <w:rPr>
          <w:rFonts w:hint="eastAsia" w:ascii="宋体" w:hAnsi="宋体" w:cs="宋体"/>
          <w:sz w:val="24"/>
          <w:szCs w:val="24"/>
          <w:highlight w:val="none"/>
        </w:rPr>
        <w:t>服务工作，并在规定的期限内提供相应的服务。</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hint="eastAsia" w:ascii="宋体" w:hAnsi="宋体" w:cs="宋体"/>
          <w:sz w:val="24"/>
          <w:szCs w:val="24"/>
          <w:highlight w:val="none"/>
        </w:rPr>
      </w:pPr>
      <w:r>
        <w:rPr>
          <w:rFonts w:hint="eastAsia" w:ascii="宋体" w:hAnsi="宋体" w:cs="宋体"/>
          <w:spacing w:val="-4"/>
          <w:kern w:val="0"/>
          <w:sz w:val="24"/>
          <w:szCs w:val="24"/>
          <w:highlight w:val="none"/>
        </w:rPr>
        <w:t>9.我方</w:t>
      </w:r>
      <w:r>
        <w:rPr>
          <w:rFonts w:hint="eastAsia" w:ascii="宋体" w:hAnsi="宋体" w:cs="宋体"/>
          <w:sz w:val="24"/>
          <w:szCs w:val="24"/>
          <w:highlight w:val="none"/>
        </w:rPr>
        <w:t>同意：比选人可以在参选有效期截止前，要求延长参选有效期并取得参选人或中标候选人同意。</w:t>
      </w:r>
    </w:p>
    <w:p>
      <w:pPr>
        <w:pStyle w:val="194"/>
        <w:widowControl/>
        <w:spacing w:line="360" w:lineRule="auto"/>
        <w:ind w:firstLine="480"/>
        <w:jc w:val="left"/>
        <w:rPr>
          <w:rFonts w:ascii="宋体" w:hAnsi="宋体" w:cs="宋体"/>
          <w:kern w:val="0"/>
          <w:sz w:val="24"/>
          <w:szCs w:val="24"/>
          <w:highlight w:val="none"/>
        </w:rPr>
      </w:pPr>
      <w:r>
        <w:rPr>
          <w:rFonts w:hint="eastAsia" w:ascii="宋体" w:hAnsi="宋体" w:cs="宋体"/>
          <w:sz w:val="24"/>
          <w:szCs w:val="24"/>
          <w:highlight w:val="none"/>
        </w:rPr>
        <w:t>10.我方同意：</w:t>
      </w:r>
      <w:r>
        <w:rPr>
          <w:rFonts w:hint="eastAsia" w:ascii="宋体" w:hAnsi="宋体" w:cs="宋体"/>
          <w:snapToGrid w:val="0"/>
          <w:sz w:val="24"/>
          <w:szCs w:val="24"/>
          <w:highlight w:val="none"/>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highlight w:val="none"/>
        </w:rPr>
      </w:pP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参选人：（盖章）         [参选人名称]                                     </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法人代表或授权委托代理人：                       联 系 人：                  </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电    话：                                   传    真：                  </w:t>
      </w:r>
    </w:p>
    <w:p>
      <w:pPr>
        <w:spacing w:line="360" w:lineRule="auto"/>
        <w:ind w:firstLine="480" w:firstLineChars="200"/>
        <w:rPr>
          <w:rFonts w:hint="eastAsia" w:ascii="宋体" w:hAnsi="宋体" w:cs="宋体"/>
          <w:sz w:val="24"/>
          <w:szCs w:val="24"/>
          <w:highlight w:val="none"/>
        </w:rPr>
        <w:sectPr>
          <w:pgSz w:w="11907" w:h="16840"/>
          <w:pgMar w:top="1440" w:right="1440" w:bottom="1440" w:left="1440" w:header="720" w:footer="992" w:gutter="0"/>
          <w:cols w:space="720" w:num="1"/>
          <w:docGrid w:linePitch="312" w:charSpace="0"/>
        </w:sectPr>
      </w:pPr>
      <w:r>
        <w:rPr>
          <w:rFonts w:hint="eastAsia" w:ascii="宋体" w:hAnsi="宋体" w:cs="宋体"/>
          <w:sz w:val="24"/>
          <w:szCs w:val="24"/>
          <w:highlight w:val="none"/>
        </w:rPr>
        <w:t>日    期：      年      月      日</w:t>
      </w:r>
    </w:p>
    <w:p>
      <w:pPr>
        <w:spacing w:line="360" w:lineRule="auto"/>
        <w:rPr>
          <w:rFonts w:hint="eastAsia"/>
          <w:b/>
          <w:snapToGrid w:val="0"/>
          <w:sz w:val="24"/>
          <w:szCs w:val="24"/>
          <w:highlight w:val="none"/>
        </w:rPr>
      </w:pPr>
      <w:r>
        <w:rPr>
          <w:rFonts w:hint="eastAsia"/>
          <w:b/>
          <w:snapToGrid w:val="0"/>
          <w:sz w:val="24"/>
          <w:szCs w:val="24"/>
          <w:highlight w:val="none"/>
        </w:rPr>
        <w:t>二、报价单</w:t>
      </w:r>
    </w:p>
    <w:p>
      <w:pPr>
        <w:pStyle w:val="24"/>
        <w:spacing w:before="120" w:beforeLines="50" w:after="120" w:afterLines="50" w:line="360" w:lineRule="auto"/>
        <w:jc w:val="center"/>
        <w:rPr>
          <w:rFonts w:hint="eastAsia" w:hAnsi="宋体"/>
          <w:b/>
          <w:sz w:val="30"/>
          <w:szCs w:val="30"/>
          <w:highlight w:val="none"/>
        </w:rPr>
      </w:pPr>
      <w:r>
        <w:rPr>
          <w:rFonts w:hint="eastAsia" w:hAnsi="宋体" w:eastAsia="宋体" w:cs="Times New Roman"/>
          <w:b/>
          <w:sz w:val="30"/>
          <w:szCs w:val="30"/>
          <w:highlight w:val="none"/>
        </w:rPr>
        <w:t>深铁瑞城系列营销活动与现场包装服务报价总览</w:t>
      </w:r>
      <w:r>
        <w:rPr>
          <w:rFonts w:hint="eastAsia" w:hAnsi="宋体"/>
          <w:b/>
          <w:sz w:val="30"/>
          <w:szCs w:val="30"/>
          <w:highlight w:val="none"/>
        </w:rPr>
        <w:t>表</w:t>
      </w:r>
    </w:p>
    <w:p>
      <w:pPr>
        <w:spacing w:line="360" w:lineRule="auto"/>
        <w:jc w:val="right"/>
        <w:rPr>
          <w:rFonts w:ascii="宋体" w:hAnsi="宋体"/>
          <w:sz w:val="24"/>
          <w:szCs w:val="24"/>
          <w:highlight w:val="none"/>
        </w:rPr>
      </w:pPr>
      <w:r>
        <w:rPr>
          <w:rFonts w:hint="eastAsia" w:ascii="宋体" w:hAnsi="宋体"/>
          <w:sz w:val="24"/>
          <w:szCs w:val="24"/>
          <w:highlight w:val="none"/>
        </w:rPr>
        <w:t>货币单位：人民币（元）</w:t>
      </w:r>
    </w:p>
    <w:tbl>
      <w:tblPr>
        <w:tblStyle w:val="47"/>
        <w:tblW w:w="13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2904"/>
        <w:gridCol w:w="2208"/>
        <w:gridCol w:w="1783"/>
        <w:gridCol w:w="1850"/>
        <w:gridCol w:w="1905"/>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37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序号</w:t>
            </w:r>
          </w:p>
        </w:tc>
        <w:tc>
          <w:tcPr>
            <w:tcW w:w="2904"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项目</w:t>
            </w:r>
          </w:p>
        </w:tc>
        <w:tc>
          <w:tcPr>
            <w:tcW w:w="2208"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不含税总价（元）</w:t>
            </w:r>
          </w:p>
        </w:tc>
        <w:tc>
          <w:tcPr>
            <w:tcW w:w="178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税率（%）</w:t>
            </w:r>
          </w:p>
        </w:tc>
        <w:tc>
          <w:tcPr>
            <w:tcW w:w="18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增值税额（元）</w:t>
            </w:r>
          </w:p>
        </w:tc>
        <w:tc>
          <w:tcPr>
            <w:tcW w:w="190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含税总价（元）</w:t>
            </w:r>
          </w:p>
        </w:tc>
        <w:tc>
          <w:tcPr>
            <w:tcW w:w="163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37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1</w:t>
            </w:r>
          </w:p>
        </w:tc>
        <w:tc>
          <w:tcPr>
            <w:tcW w:w="2904" w:type="dxa"/>
            <w:tcBorders>
              <w:top w:val="single" w:color="auto" w:sz="4" w:space="0"/>
              <w:left w:val="single" w:color="auto" w:sz="4" w:space="0"/>
              <w:right w:val="single" w:color="auto" w:sz="4" w:space="0"/>
            </w:tcBorders>
            <w:noWrap w:val="0"/>
            <w:vAlign w:val="center"/>
          </w:tcPr>
          <w:p>
            <w:pPr>
              <w:spacing w:line="360" w:lineRule="auto"/>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系列营销活动</w:t>
            </w:r>
          </w:p>
        </w:tc>
        <w:tc>
          <w:tcPr>
            <w:tcW w:w="2208"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78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8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90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63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37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2</w:t>
            </w:r>
          </w:p>
        </w:tc>
        <w:tc>
          <w:tcPr>
            <w:tcW w:w="2904" w:type="dxa"/>
            <w:tcBorders>
              <w:top w:val="single" w:color="auto" w:sz="4" w:space="0"/>
              <w:left w:val="single" w:color="auto" w:sz="4" w:space="0"/>
              <w:right w:val="single" w:color="auto" w:sz="4" w:space="0"/>
            </w:tcBorders>
            <w:noWrap w:val="0"/>
            <w:vAlign w:val="center"/>
          </w:tcPr>
          <w:p>
            <w:pPr>
              <w:spacing w:line="360" w:lineRule="auto"/>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现场包装服务</w:t>
            </w:r>
          </w:p>
        </w:tc>
        <w:tc>
          <w:tcPr>
            <w:tcW w:w="2208"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78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8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90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633"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270"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r>
              <w:rPr>
                <w:rFonts w:hint="eastAsia" w:ascii="宋体" w:hAnsi="宋体" w:cs="宋体"/>
                <w:b/>
                <w:bCs/>
                <w:sz w:val="24"/>
                <w:szCs w:val="24"/>
                <w:highlight w:val="none"/>
              </w:rPr>
              <w:t>合计</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24"/>
                <w:szCs w:val="24"/>
                <w:highlight w:val="none"/>
              </w:rPr>
            </w:pPr>
          </w:p>
        </w:tc>
      </w:tr>
    </w:tbl>
    <w:p>
      <w:pPr>
        <w:spacing w:line="360" w:lineRule="auto"/>
        <w:ind w:firstLine="480" w:firstLineChars="200"/>
        <w:rPr>
          <w:rFonts w:ascii="宋体" w:hAnsi="宋体"/>
          <w:sz w:val="24"/>
          <w:szCs w:val="24"/>
          <w:highlight w:val="none"/>
        </w:rPr>
      </w:pPr>
      <w:r>
        <w:rPr>
          <w:rFonts w:hint="eastAsia" w:ascii="宋体" w:hAnsi="宋体"/>
          <w:sz w:val="24"/>
          <w:szCs w:val="24"/>
          <w:highlight w:val="none"/>
        </w:rPr>
        <w:t>注：</w:t>
      </w:r>
    </w:p>
    <w:p>
      <w:pPr>
        <w:spacing w:line="360" w:lineRule="auto"/>
        <w:ind w:firstLine="420" w:firstLineChars="200"/>
        <w:rPr>
          <w:rFonts w:hint="eastAsia" w:ascii="宋体" w:hAnsi="宋体"/>
          <w:szCs w:val="21"/>
          <w:highlight w:val="none"/>
        </w:rPr>
      </w:pPr>
      <w:r>
        <w:rPr>
          <w:rFonts w:hint="eastAsia" w:ascii="宋体" w:hAnsi="宋体"/>
          <w:szCs w:val="21"/>
          <w:highlight w:val="none"/>
        </w:rPr>
        <w:t>1.报价采用人民币报价。</w:t>
      </w:r>
    </w:p>
    <w:p>
      <w:pPr>
        <w:spacing w:line="360" w:lineRule="auto"/>
        <w:ind w:firstLine="420" w:firstLineChars="200"/>
        <w:rPr>
          <w:rFonts w:hint="eastAsia" w:ascii="宋体" w:hAnsi="宋体"/>
          <w:szCs w:val="21"/>
          <w:highlight w:val="none"/>
        </w:rPr>
      </w:pPr>
      <w:r>
        <w:rPr>
          <w:rFonts w:hint="eastAsia" w:ascii="宋体" w:hAnsi="宋体"/>
          <w:szCs w:val="21"/>
          <w:highlight w:val="none"/>
        </w:rPr>
        <w:t>2、报价包含本采购文件所要求的完成本项目以及伴随服务等全过程产生的所有成本和费用以及一切税费。</w:t>
      </w:r>
    </w:p>
    <w:p>
      <w:pPr>
        <w:spacing w:line="360" w:lineRule="auto"/>
        <w:ind w:firstLine="420" w:firstLineChars="200"/>
        <w:rPr>
          <w:rFonts w:hint="eastAsia" w:ascii="宋体" w:hAnsi="宋体"/>
          <w:szCs w:val="21"/>
          <w:highlight w:val="none"/>
        </w:rPr>
      </w:pPr>
      <w:r>
        <w:rPr>
          <w:rFonts w:hint="eastAsia" w:ascii="宋体" w:hAnsi="宋体"/>
          <w:szCs w:val="21"/>
          <w:highlight w:val="none"/>
        </w:rPr>
        <w:t>3、所有供应商必须按采购文件要求逐项报价。如出现缺项、漏项、少报、错报时，相应的费用视为包含在报价的其他项目价格中，合同总价不予增加。</w:t>
      </w:r>
    </w:p>
    <w:p>
      <w:pPr>
        <w:spacing w:line="360" w:lineRule="auto"/>
        <w:ind w:firstLine="420" w:firstLineChars="200"/>
        <w:rPr>
          <w:rFonts w:hint="eastAsia" w:ascii="宋体" w:hAnsi="宋体"/>
          <w:szCs w:val="21"/>
          <w:highlight w:val="none"/>
        </w:rPr>
      </w:pPr>
      <w:r>
        <w:rPr>
          <w:rFonts w:hint="eastAsia" w:ascii="宋体" w:hAnsi="宋体"/>
          <w:szCs w:val="21"/>
          <w:highlight w:val="none"/>
        </w:rPr>
        <w:t>4、供应商必须提供增值税专用发票。</w:t>
      </w:r>
    </w:p>
    <w:p>
      <w:pPr>
        <w:spacing w:line="360" w:lineRule="auto"/>
        <w:ind w:firstLine="420" w:firstLineChars="200"/>
        <w:rPr>
          <w:rFonts w:hint="eastAsia" w:ascii="宋体" w:hAnsi="宋体"/>
          <w:szCs w:val="21"/>
          <w:highlight w:val="none"/>
        </w:rPr>
      </w:pPr>
      <w:r>
        <w:rPr>
          <w:rFonts w:hint="eastAsia" w:ascii="宋体" w:hAnsi="宋体"/>
          <w:szCs w:val="21"/>
          <w:highlight w:val="none"/>
        </w:rPr>
        <w:t>5.报价中的不含税单价在合同执行期间是固定的，不得以任何理由变更。合同的增值税率按照国家税收法规政策变动而调整。</w:t>
      </w:r>
    </w:p>
    <w:p>
      <w:pPr>
        <w:spacing w:line="360" w:lineRule="auto"/>
        <w:ind w:firstLine="450"/>
        <w:rPr>
          <w:rFonts w:hint="eastAsia" w:ascii="宋体" w:hAnsi="宋体"/>
          <w:szCs w:val="21"/>
          <w:highlight w:val="none"/>
        </w:rPr>
      </w:pPr>
      <w:r>
        <w:rPr>
          <w:rFonts w:hint="eastAsia" w:ascii="宋体" w:hAnsi="宋体"/>
          <w:szCs w:val="21"/>
          <w:highlight w:val="none"/>
        </w:rPr>
        <w:t>6.附件为报价清单明细，作为合同签订附件。</w:t>
      </w:r>
    </w:p>
    <w:p>
      <w:pPr>
        <w:spacing w:line="360" w:lineRule="auto"/>
        <w:rPr>
          <w:rFonts w:hint="eastAsia" w:ascii="宋体" w:hAnsi="宋体"/>
          <w:sz w:val="24"/>
          <w:szCs w:val="24"/>
          <w:highlight w:val="none"/>
          <w:u w:val="single"/>
        </w:rPr>
      </w:pPr>
      <w:r>
        <w:rPr>
          <w:rFonts w:hint="eastAsia" w:ascii="宋体" w:hAnsi="宋体"/>
          <w:sz w:val="24"/>
          <w:szCs w:val="24"/>
          <w:highlight w:val="none"/>
        </w:rPr>
        <w:t>供应商名称（公章）：</w:t>
      </w:r>
      <w:r>
        <w:rPr>
          <w:rFonts w:hint="eastAsia" w:ascii="宋体" w:hAnsi="宋体"/>
          <w:sz w:val="24"/>
          <w:szCs w:val="24"/>
          <w:highlight w:val="none"/>
          <w:u w:val="single"/>
        </w:rPr>
        <w:t xml:space="preserve">           </w:t>
      </w:r>
    </w:p>
    <w:p>
      <w:pPr>
        <w:spacing w:line="360" w:lineRule="auto"/>
        <w:ind w:left="567" w:hanging="567"/>
        <w:rPr>
          <w:rFonts w:hint="eastAsia" w:ascii="宋体" w:hAnsi="宋体"/>
          <w:sz w:val="24"/>
          <w:szCs w:val="24"/>
          <w:highlight w:val="none"/>
          <w:u w:val="single"/>
        </w:rPr>
      </w:pPr>
      <w:r>
        <w:rPr>
          <w:rFonts w:hint="eastAsia" w:ascii="宋体" w:hAnsi="宋体"/>
          <w:sz w:val="24"/>
          <w:szCs w:val="24"/>
          <w:highlight w:val="none"/>
        </w:rPr>
        <w:t>法定代表人（或委托代理人）签字：</w:t>
      </w:r>
      <w:r>
        <w:rPr>
          <w:rFonts w:hint="eastAsia" w:ascii="宋体" w:hAnsi="宋体"/>
          <w:sz w:val="24"/>
          <w:szCs w:val="24"/>
          <w:highlight w:val="none"/>
          <w:u w:val="single"/>
        </w:rPr>
        <w:t xml:space="preserve">           </w:t>
      </w:r>
      <w:r>
        <w:rPr>
          <w:rFonts w:hint="eastAsia" w:ascii="宋体" w:hAnsi="宋体"/>
          <w:sz w:val="24"/>
          <w:szCs w:val="24"/>
          <w:highlight w:val="none"/>
        </w:rPr>
        <w:t xml:space="preserve">           日期：</w:t>
      </w:r>
      <w:r>
        <w:rPr>
          <w:rFonts w:hint="eastAsia" w:ascii="宋体" w:hAnsi="宋体"/>
          <w:sz w:val="24"/>
          <w:szCs w:val="24"/>
          <w:highlight w:val="none"/>
          <w:u w:val="single"/>
        </w:rPr>
        <w:t xml:space="preserve">          </w:t>
      </w:r>
    </w:p>
    <w:p>
      <w:pPr>
        <w:spacing w:line="360" w:lineRule="auto"/>
        <w:ind w:left="567" w:hanging="567"/>
        <w:rPr>
          <w:rFonts w:hint="eastAsia" w:ascii="宋体" w:hAnsi="宋体"/>
          <w:sz w:val="24"/>
          <w:szCs w:val="24"/>
          <w:highlight w:val="none"/>
          <w:u w:val="single"/>
        </w:rPr>
      </w:pPr>
    </w:p>
    <w:p>
      <w:pPr>
        <w:pStyle w:val="2"/>
        <w:rPr>
          <w:rFonts w:hint="eastAsia" w:ascii="宋体" w:hAnsi="宋体"/>
          <w:sz w:val="24"/>
          <w:szCs w:val="24"/>
          <w:highlight w:val="none"/>
          <w:u w:val="single"/>
        </w:rPr>
      </w:pPr>
    </w:p>
    <w:p>
      <w:pPr>
        <w:pStyle w:val="2"/>
        <w:rPr>
          <w:rFonts w:hint="eastAsia" w:ascii="宋体" w:hAnsi="宋体"/>
          <w:sz w:val="24"/>
          <w:szCs w:val="24"/>
          <w:highlight w:val="none"/>
          <w:u w:val="single"/>
        </w:rPr>
      </w:pPr>
    </w:p>
    <w:p>
      <w:pPr>
        <w:pStyle w:val="2"/>
        <w:rPr>
          <w:rFonts w:hint="eastAsia" w:ascii="宋体" w:hAnsi="宋体"/>
          <w:sz w:val="24"/>
          <w:szCs w:val="24"/>
          <w:highlight w:val="none"/>
          <w:u w:val="single"/>
        </w:rPr>
      </w:pPr>
    </w:p>
    <w:tbl>
      <w:tblPr>
        <w:tblStyle w:val="47"/>
        <w:tblW w:w="15367" w:type="dxa"/>
        <w:jc w:val="center"/>
        <w:tblLayout w:type="fixed"/>
        <w:tblCellMar>
          <w:top w:w="0" w:type="dxa"/>
          <w:left w:w="0" w:type="dxa"/>
          <w:bottom w:w="0" w:type="dxa"/>
          <w:right w:w="0" w:type="dxa"/>
        </w:tblCellMar>
      </w:tblPr>
      <w:tblGrid>
        <w:gridCol w:w="14340"/>
        <w:gridCol w:w="1027"/>
      </w:tblGrid>
      <w:tr>
        <w:tblPrEx>
          <w:tblCellMar>
            <w:top w:w="0" w:type="dxa"/>
            <w:left w:w="0" w:type="dxa"/>
            <w:bottom w:w="0" w:type="dxa"/>
            <w:right w:w="0" w:type="dxa"/>
          </w:tblCellMar>
        </w:tblPrEx>
        <w:trPr>
          <w:trHeight w:val="500" w:hRule="atLeast"/>
          <w:jc w:val="center"/>
        </w:trPr>
        <w:tc>
          <w:tcPr>
            <w:tcW w:w="15367" w:type="dxa"/>
            <w:gridSpan w:val="2"/>
            <w:tcBorders>
              <w:top w:val="nil"/>
              <w:left w:val="nil"/>
              <w:bottom w:val="nil"/>
              <w:right w:val="nil"/>
            </w:tcBorders>
            <w:noWrap w:val="0"/>
            <w:tcMar>
              <w:top w:w="15" w:type="dxa"/>
              <w:left w:w="15" w:type="dxa"/>
              <w:right w:w="15" w:type="dxa"/>
            </w:tcMar>
            <w:vAlign w:val="center"/>
          </w:tcPr>
          <w:p>
            <w:pPr>
              <w:widowControl/>
              <w:jc w:val="left"/>
              <w:textAlignment w:val="center"/>
              <w:rPr>
                <w:rFonts w:hint="eastAsia" w:ascii="宋体" w:hAnsi="宋体" w:cs="宋体"/>
                <w:b/>
                <w:color w:val="000000"/>
                <w:sz w:val="22"/>
                <w:szCs w:val="22"/>
                <w:highlight w:val="none"/>
              </w:rPr>
            </w:pPr>
            <w:bookmarkStart w:id="136" w:name="_Toc57731988"/>
            <w:r>
              <w:rPr>
                <w:rFonts w:hint="eastAsia" w:ascii="宋体" w:hAnsi="宋体" w:cs="宋体"/>
                <w:b/>
                <w:color w:val="000000"/>
                <w:kern w:val="0"/>
                <w:sz w:val="28"/>
                <w:szCs w:val="28"/>
                <w:highlight w:val="none"/>
                <w:lang w:bidi="ar"/>
              </w:rPr>
              <w:t>附件1.</w:t>
            </w:r>
            <w:r>
              <w:rPr>
                <w:rFonts w:hint="eastAsia" w:ascii="宋体" w:hAnsi="宋体" w:cs="宋体"/>
                <w:b/>
                <w:color w:val="000000"/>
                <w:kern w:val="0"/>
                <w:sz w:val="28"/>
                <w:szCs w:val="28"/>
                <w:highlight w:val="none"/>
                <w:lang w:val="en-US" w:eastAsia="zh-CN" w:bidi="ar"/>
              </w:rPr>
              <w:t>系列营销活动</w:t>
            </w:r>
            <w:r>
              <w:rPr>
                <w:rFonts w:hint="eastAsia" w:ascii="宋体" w:hAnsi="宋体" w:cs="宋体"/>
                <w:b/>
                <w:color w:val="000000"/>
                <w:kern w:val="0"/>
                <w:sz w:val="28"/>
                <w:szCs w:val="28"/>
                <w:highlight w:val="none"/>
                <w:lang w:bidi="ar"/>
              </w:rPr>
              <w:t>报价分表</w:t>
            </w:r>
          </w:p>
        </w:tc>
      </w:tr>
      <w:tr>
        <w:tblPrEx>
          <w:tblCellMar>
            <w:top w:w="0" w:type="dxa"/>
            <w:left w:w="0" w:type="dxa"/>
            <w:bottom w:w="0" w:type="dxa"/>
            <w:right w:w="0" w:type="dxa"/>
          </w:tblCellMar>
        </w:tblPrEx>
        <w:trPr>
          <w:gridAfter w:val="1"/>
          <w:wAfter w:w="1027" w:type="dxa"/>
          <w:trHeight w:val="560" w:hRule="atLeast"/>
          <w:jc w:val="center"/>
        </w:trPr>
        <w:tc>
          <w:tcPr>
            <w:tcW w:w="14340" w:type="dxa"/>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hAnsi="宋体" w:cs="宋体"/>
                <w:b/>
                <w:color w:val="000000"/>
                <w:kern w:val="0"/>
                <w:sz w:val="22"/>
                <w:szCs w:val="22"/>
                <w:highlight w:val="none"/>
                <w:lang w:bidi="ar"/>
              </w:rPr>
            </w:pPr>
          </w:p>
          <w:p>
            <w:pPr>
              <w:widowControl/>
              <w:spacing w:after="192" w:afterLines="80"/>
              <w:textAlignment w:val="center"/>
              <w:rPr>
                <w:rFonts w:hint="eastAsia" w:ascii="宋体" w:hAnsi="宋体" w:cs="宋体"/>
                <w:b/>
                <w:color w:val="000000"/>
                <w:kern w:val="0"/>
                <w:sz w:val="22"/>
                <w:szCs w:val="22"/>
                <w:highlight w:val="none"/>
                <w:lang w:bidi="ar"/>
              </w:rPr>
            </w:pPr>
          </w:p>
          <w:p>
            <w:pPr>
              <w:widowControl/>
              <w:spacing w:after="192" w:afterLines="80"/>
              <w:jc w:val="left"/>
              <w:textAlignment w:val="center"/>
              <w:rPr>
                <w:rFonts w:hint="eastAsia" w:ascii="宋体" w:hAnsi="宋体" w:cs="宋体"/>
                <w:b/>
                <w:color w:val="000000"/>
                <w:sz w:val="22"/>
                <w:szCs w:val="22"/>
                <w:highlight w:val="none"/>
              </w:rPr>
            </w:pPr>
            <w:r>
              <w:rPr>
                <w:rFonts w:hint="eastAsia" w:ascii="宋体" w:hAnsi="宋体" w:cs="宋体"/>
                <w:b/>
                <w:color w:val="000000"/>
                <w:kern w:val="0"/>
                <w:sz w:val="28"/>
                <w:szCs w:val="28"/>
                <w:highlight w:val="none"/>
                <w:lang w:bidi="ar"/>
              </w:rPr>
              <w:t>附件2.</w:t>
            </w:r>
            <w:r>
              <w:rPr>
                <w:rFonts w:hint="eastAsia" w:ascii="宋体" w:hAnsi="宋体" w:cs="宋体"/>
                <w:b/>
                <w:color w:val="000000"/>
                <w:kern w:val="0"/>
                <w:sz w:val="28"/>
                <w:szCs w:val="28"/>
                <w:highlight w:val="none"/>
                <w:lang w:val="en-US" w:eastAsia="zh-CN" w:bidi="ar"/>
              </w:rPr>
              <w:t>现场包装服务</w:t>
            </w:r>
            <w:r>
              <w:rPr>
                <w:rFonts w:hint="eastAsia" w:ascii="宋体" w:hAnsi="宋体" w:cs="宋体"/>
                <w:b/>
                <w:color w:val="000000"/>
                <w:kern w:val="0"/>
                <w:sz w:val="28"/>
                <w:szCs w:val="28"/>
                <w:highlight w:val="none"/>
                <w:lang w:bidi="ar"/>
              </w:rPr>
              <w:t>报价分表</w:t>
            </w:r>
          </w:p>
        </w:tc>
      </w:tr>
    </w:tbl>
    <w:p>
      <w:pPr>
        <w:rPr>
          <w:rFonts w:hint="eastAsia" w:ascii="宋体" w:hAnsi="宋体" w:cs="宋体"/>
          <w:b/>
          <w:sz w:val="22"/>
          <w:szCs w:val="22"/>
          <w:highlight w:val="none"/>
        </w:rPr>
        <w:sectPr>
          <w:headerReference r:id="rId12" w:type="default"/>
          <w:pgSz w:w="16840" w:h="11907" w:orient="landscape"/>
          <w:pgMar w:top="850" w:right="1440" w:bottom="850" w:left="1440" w:header="720" w:footer="992" w:gutter="0"/>
          <w:cols w:space="720" w:num="1"/>
          <w:docGrid w:linePitch="360" w:charSpace="0"/>
        </w:sectPr>
      </w:pPr>
    </w:p>
    <w:bookmarkEnd w:id="136"/>
    <w:p>
      <w:pPr>
        <w:tabs>
          <w:tab w:val="left" w:pos="1410"/>
        </w:tabs>
        <w:spacing w:line="360" w:lineRule="auto"/>
        <w:jc w:val="center"/>
        <w:rPr>
          <w:rFonts w:hint="default" w:ascii="宋体" w:hAnsi="宋体" w:eastAsia="宋体" w:cs="Times New Roman"/>
          <w:b/>
          <w:spacing w:val="36"/>
          <w:sz w:val="44"/>
          <w:szCs w:val="44"/>
          <w:highlight w:val="none"/>
          <w:lang w:val="en-US" w:eastAsia="zh-CN"/>
        </w:rPr>
      </w:pPr>
      <w:r>
        <w:rPr>
          <w:rFonts w:hint="eastAsia" w:ascii="宋体" w:hAnsi="宋体" w:eastAsia="宋体" w:cs="Times New Roman"/>
          <w:b/>
          <w:spacing w:val="36"/>
          <w:sz w:val="44"/>
          <w:szCs w:val="44"/>
          <w:highlight w:val="none"/>
          <w:lang w:val="en-US" w:eastAsia="zh-CN"/>
        </w:rPr>
        <w:t>第三章  合同</w:t>
      </w:r>
    </w:p>
    <w:p>
      <w:pPr>
        <w:spacing w:line="520" w:lineRule="exact"/>
        <w:ind w:firstLine="546" w:firstLineChars="200"/>
        <w:rPr>
          <w:rFonts w:hint="eastAsia" w:ascii="仿宋_GB2312" w:eastAsia="仿宋_GB2312"/>
          <w:b/>
          <w:spacing w:val="-4"/>
          <w:sz w:val="28"/>
          <w:szCs w:val="28"/>
        </w:rPr>
      </w:pPr>
    </w:p>
    <w:p>
      <w:pPr>
        <w:spacing w:line="520" w:lineRule="exact"/>
        <w:ind w:firstLine="546" w:firstLineChars="200"/>
        <w:rPr>
          <w:rFonts w:ascii="仿宋_GB2312" w:eastAsia="仿宋_GB2312"/>
          <w:b/>
          <w:spacing w:val="-4"/>
          <w:sz w:val="28"/>
          <w:szCs w:val="28"/>
        </w:rPr>
      </w:pPr>
      <w:r>
        <w:rPr>
          <w:rFonts w:hint="eastAsia" w:ascii="仿宋_GB2312" w:eastAsia="仿宋_GB2312"/>
          <w:b/>
          <w:spacing w:val="-4"/>
          <w:sz w:val="28"/>
          <w:szCs w:val="28"/>
        </w:rPr>
        <w:t>委托方（甲方）：</w:t>
      </w:r>
      <w:r>
        <w:rPr>
          <w:rFonts w:ascii="仿宋_GB2312" w:eastAsia="仿宋_GB2312"/>
          <w:b/>
          <w:spacing w:val="-4"/>
          <w:sz w:val="28"/>
          <w:szCs w:val="28"/>
        </w:rPr>
        <w:t>深圳</w:t>
      </w:r>
      <w:r>
        <w:rPr>
          <w:rFonts w:hint="eastAsia" w:ascii="仿宋_GB2312" w:eastAsia="仿宋_GB2312"/>
          <w:b/>
          <w:spacing w:val="-4"/>
          <w:sz w:val="28"/>
          <w:szCs w:val="28"/>
        </w:rPr>
        <w:t>市地铁集团有限公司</w:t>
      </w:r>
    </w:p>
    <w:p>
      <w:pPr>
        <w:autoSpaceDE w:val="0"/>
        <w:autoSpaceDN w:val="0"/>
        <w:spacing w:line="520" w:lineRule="exact"/>
        <w:ind w:firstLine="546" w:firstLineChars="200"/>
        <w:rPr>
          <w:rFonts w:ascii="仿宋_GB2312" w:eastAsia="仿宋_GB2312"/>
          <w:b/>
          <w:spacing w:val="-4"/>
          <w:sz w:val="28"/>
          <w:szCs w:val="28"/>
        </w:rPr>
      </w:pPr>
      <w:r>
        <w:rPr>
          <w:rFonts w:hint="eastAsia" w:ascii="仿宋_GB2312" w:eastAsia="仿宋_GB2312"/>
          <w:b/>
          <w:spacing w:val="-4"/>
          <w:sz w:val="28"/>
          <w:szCs w:val="28"/>
        </w:rPr>
        <w:t>受托方（乙方）：</w:t>
      </w:r>
    </w:p>
    <w:p>
      <w:pPr>
        <w:spacing w:line="312" w:lineRule="auto"/>
        <w:ind w:firstLine="464" w:firstLineChars="200"/>
        <w:rPr>
          <w:rFonts w:ascii="宋体" w:hAnsi="宋体"/>
          <w:spacing w:val="-4"/>
          <w:sz w:val="24"/>
          <w:szCs w:val="24"/>
        </w:rPr>
      </w:pPr>
      <w:bookmarkStart w:id="137" w:name="_Toc231728416"/>
    </w:p>
    <w:p>
      <w:pPr>
        <w:pStyle w:val="24"/>
        <w:ind w:firstLine="464" w:firstLineChars="200"/>
        <w:rPr>
          <w:rFonts w:ascii="宋体" w:hAnsi="宋体"/>
          <w:spacing w:val="-4"/>
          <w:sz w:val="24"/>
          <w:szCs w:val="24"/>
        </w:rPr>
      </w:pPr>
      <w:r>
        <w:rPr>
          <w:rFonts w:hint="eastAsia" w:ascii="宋体" w:hAnsi="宋体"/>
          <w:spacing w:val="-4"/>
          <w:sz w:val="24"/>
          <w:szCs w:val="24"/>
        </w:rPr>
        <w:t>经比选，甲方确定乙方为</w:t>
      </w:r>
      <w:r>
        <w:rPr>
          <w:rFonts w:hint="eastAsia" w:ascii="宋体" w:hAnsi="宋体" w:eastAsia="宋体" w:cs="Times New Roman"/>
          <w:spacing w:val="-4"/>
          <w:sz w:val="24"/>
          <w:szCs w:val="24"/>
        </w:rPr>
        <w:t>深铁瑞城系列营销活动与现场包装</w:t>
      </w:r>
      <w:r>
        <w:rPr>
          <w:rFonts w:hint="eastAsia" w:ascii="宋体" w:hAnsi="宋体" w:eastAsia="宋体" w:cs="Times New Roman"/>
          <w:spacing w:val="-4"/>
          <w:sz w:val="24"/>
          <w:szCs w:val="24"/>
          <w:lang w:val="en-US" w:eastAsia="zh-CN"/>
        </w:rPr>
        <w:t>服务</w:t>
      </w:r>
      <w:r>
        <w:rPr>
          <w:rFonts w:hint="eastAsia" w:ascii="宋体" w:hAnsi="宋体"/>
          <w:spacing w:val="-4"/>
          <w:sz w:val="24"/>
          <w:szCs w:val="24"/>
        </w:rPr>
        <w:t>的</w:t>
      </w:r>
      <w:r>
        <w:rPr>
          <w:rFonts w:ascii="宋体" w:hAnsi="宋体"/>
          <w:spacing w:val="-4"/>
          <w:sz w:val="24"/>
          <w:szCs w:val="24"/>
        </w:rPr>
        <w:t>单位</w:t>
      </w:r>
      <w:r>
        <w:rPr>
          <w:rFonts w:hint="eastAsia" w:ascii="宋体" w:hAnsi="宋体"/>
          <w:spacing w:val="-4"/>
          <w:sz w:val="24"/>
          <w:szCs w:val="24"/>
        </w:rPr>
        <w:t>，并已接受乙方就此提出的报价文件。根据《中华人民共和国民法典》及有关法律、法规的规定，双方本着合法、自愿、诚实信用和友好合作的原则，就甲方委托乙方提供深铁瑞城临时接待中心美陈服务，达成本合同，双方恪守信用，共同执行本合同所有条款。</w:t>
      </w:r>
    </w:p>
    <w:p>
      <w:pPr>
        <w:adjustRightInd w:val="0"/>
        <w:snapToGrid w:val="0"/>
        <w:spacing w:line="312" w:lineRule="auto"/>
        <w:ind w:firstLine="466" w:firstLineChars="200"/>
        <w:rPr>
          <w:rFonts w:ascii="宋体" w:hAnsi="宋体"/>
          <w:b/>
          <w:spacing w:val="-4"/>
          <w:sz w:val="24"/>
          <w:szCs w:val="24"/>
        </w:rPr>
      </w:pPr>
      <w:r>
        <w:rPr>
          <w:rFonts w:hint="eastAsia" w:ascii="宋体" w:hAnsi="宋体"/>
          <w:b/>
          <w:spacing w:val="-4"/>
          <w:sz w:val="24"/>
          <w:szCs w:val="24"/>
        </w:rPr>
        <w:t>一</w:t>
      </w:r>
      <w:r>
        <w:rPr>
          <w:rFonts w:ascii="宋体" w:hAnsi="宋体"/>
          <w:b/>
          <w:spacing w:val="-4"/>
          <w:sz w:val="24"/>
          <w:szCs w:val="24"/>
        </w:rPr>
        <w:t>、合同范围</w:t>
      </w:r>
    </w:p>
    <w:p>
      <w:pPr>
        <w:adjustRightInd w:val="0"/>
        <w:snapToGrid w:val="0"/>
        <w:spacing w:line="312" w:lineRule="auto"/>
        <w:ind w:firstLine="464" w:firstLineChars="200"/>
        <w:rPr>
          <w:rFonts w:ascii="宋体" w:hAnsi="宋体"/>
          <w:b/>
          <w:spacing w:val="-4"/>
          <w:sz w:val="24"/>
          <w:szCs w:val="24"/>
        </w:rPr>
      </w:pPr>
      <w:r>
        <w:rPr>
          <w:rFonts w:ascii="宋体" w:hAnsi="宋体"/>
          <w:spacing w:val="-4"/>
          <w:sz w:val="24"/>
          <w:szCs w:val="24"/>
        </w:rPr>
        <w:t>甲方委托乙方</w:t>
      </w:r>
      <w:r>
        <w:rPr>
          <w:rFonts w:hint="eastAsia" w:ascii="宋体" w:hAnsi="宋体"/>
          <w:spacing w:val="-4"/>
          <w:sz w:val="24"/>
          <w:szCs w:val="24"/>
        </w:rPr>
        <w:t>承接</w:t>
      </w:r>
      <w:r>
        <w:rPr>
          <w:rFonts w:hint="eastAsia" w:ascii="宋体" w:hAnsi="宋体" w:eastAsia="宋体" w:cs="Times New Roman"/>
          <w:spacing w:val="-4"/>
          <w:sz w:val="24"/>
          <w:szCs w:val="24"/>
        </w:rPr>
        <w:t>深铁瑞城系列营销活动与现场包装</w:t>
      </w:r>
      <w:r>
        <w:rPr>
          <w:rFonts w:hint="eastAsia" w:ascii="宋体" w:hAnsi="宋体" w:eastAsia="宋体" w:cs="Times New Roman"/>
          <w:spacing w:val="-4"/>
          <w:sz w:val="24"/>
          <w:szCs w:val="24"/>
          <w:lang w:val="en-US" w:eastAsia="zh-CN"/>
        </w:rPr>
        <w:t>服务</w:t>
      </w:r>
      <w:r>
        <w:rPr>
          <w:rFonts w:ascii="宋体" w:hAnsi="宋体"/>
          <w:spacing w:val="-4"/>
          <w:sz w:val="24"/>
          <w:szCs w:val="24"/>
        </w:rPr>
        <w:t>，负责该项目的</w:t>
      </w:r>
      <w:r>
        <w:rPr>
          <w:rFonts w:hint="eastAsia" w:ascii="宋体" w:hAnsi="宋体"/>
          <w:spacing w:val="-4"/>
          <w:sz w:val="24"/>
          <w:szCs w:val="24"/>
          <w:lang w:val="en-US" w:eastAsia="zh-CN"/>
        </w:rPr>
        <w:t>活动执行、</w:t>
      </w:r>
      <w:r>
        <w:rPr>
          <w:rFonts w:hint="eastAsia" w:ascii="宋体" w:hAnsi="宋体"/>
          <w:spacing w:val="-4"/>
          <w:sz w:val="24"/>
          <w:szCs w:val="24"/>
        </w:rPr>
        <w:t>展示设计</w:t>
      </w:r>
      <w:r>
        <w:rPr>
          <w:rFonts w:ascii="宋体" w:hAnsi="宋体"/>
          <w:spacing w:val="-4"/>
          <w:sz w:val="24"/>
          <w:szCs w:val="24"/>
        </w:rPr>
        <w:t>、</w:t>
      </w:r>
      <w:r>
        <w:rPr>
          <w:rFonts w:hint="eastAsia" w:ascii="宋体" w:hAnsi="宋体"/>
          <w:spacing w:val="-4"/>
          <w:sz w:val="24"/>
          <w:szCs w:val="24"/>
        </w:rPr>
        <w:t>制作包装、</w:t>
      </w:r>
      <w:r>
        <w:rPr>
          <w:rFonts w:ascii="宋体" w:hAnsi="宋体"/>
          <w:spacing w:val="-4"/>
          <w:sz w:val="24"/>
          <w:szCs w:val="24"/>
        </w:rPr>
        <w:t>物料采购</w:t>
      </w:r>
      <w:r>
        <w:rPr>
          <w:rFonts w:hint="eastAsia" w:ascii="宋体" w:hAnsi="宋体"/>
          <w:spacing w:val="-4"/>
          <w:sz w:val="24"/>
          <w:szCs w:val="24"/>
        </w:rPr>
        <w:t>、包装</w:t>
      </w:r>
      <w:r>
        <w:rPr>
          <w:rFonts w:ascii="宋体" w:hAnsi="宋体"/>
          <w:spacing w:val="-4"/>
          <w:sz w:val="24"/>
          <w:szCs w:val="24"/>
        </w:rPr>
        <w:t>执行、人员安排等事宜。</w:t>
      </w:r>
    </w:p>
    <w:p>
      <w:pPr>
        <w:spacing w:line="312" w:lineRule="auto"/>
        <w:ind w:firstLine="466" w:firstLineChars="200"/>
        <w:rPr>
          <w:rFonts w:ascii="宋体" w:hAnsi="宋体"/>
          <w:b/>
          <w:spacing w:val="-4"/>
          <w:sz w:val="24"/>
          <w:szCs w:val="24"/>
        </w:rPr>
      </w:pPr>
      <w:r>
        <w:rPr>
          <w:rFonts w:hint="eastAsia" w:ascii="宋体" w:hAnsi="宋体"/>
          <w:b/>
          <w:spacing w:val="-4"/>
          <w:sz w:val="24"/>
          <w:szCs w:val="24"/>
        </w:rPr>
        <w:t>二、</w:t>
      </w:r>
      <w:bookmarkEnd w:id="137"/>
      <w:r>
        <w:rPr>
          <w:rFonts w:hint="eastAsia" w:ascii="宋体" w:hAnsi="宋体"/>
          <w:b/>
          <w:spacing w:val="-4"/>
          <w:sz w:val="24"/>
          <w:szCs w:val="24"/>
        </w:rPr>
        <w:t>工作内容</w:t>
      </w:r>
    </w:p>
    <w:p>
      <w:pPr>
        <w:ind w:firstLine="464" w:firstLineChars="200"/>
        <w:rPr>
          <w:rFonts w:hint="eastAsia" w:ascii="宋体" w:hAnsi="宋体" w:eastAsia="宋体" w:cs="Times New Roman"/>
          <w:spacing w:val="-4"/>
          <w:kern w:val="0"/>
          <w:sz w:val="24"/>
          <w:szCs w:val="24"/>
          <w:lang w:val="en-US" w:eastAsia="zh-CN" w:bidi="ar-SA"/>
        </w:rPr>
      </w:pPr>
      <w:bookmarkStart w:id="138" w:name="_Toc231728422"/>
      <w:r>
        <w:rPr>
          <w:rFonts w:hint="eastAsia" w:ascii="宋体" w:hAnsi="宋体" w:eastAsia="宋体" w:cs="Times New Roman"/>
          <w:spacing w:val="-4"/>
          <w:kern w:val="0"/>
          <w:sz w:val="24"/>
          <w:szCs w:val="24"/>
          <w:lang w:val="en-US" w:eastAsia="zh-CN" w:bidi="ar-SA"/>
        </w:rPr>
        <w:t xml:space="preserve">深铁瑞城系列营销活动与现场包装服务包含但不限于展示中心开放活动策划及执行、系列暖场活动策划及执行、宣传推广、现场包装相关物料采购、设计制作与执行、相关活动的收尾撤场等内容，具体要求如下： </w:t>
      </w:r>
    </w:p>
    <w:p>
      <w:pPr>
        <w:spacing w:line="312" w:lineRule="auto"/>
        <w:ind w:firstLine="466" w:firstLineChars="200"/>
        <w:rPr>
          <w:rFonts w:hint="eastAsia" w:ascii="宋体" w:hAnsi="宋体" w:eastAsia="宋体" w:cs="Times New Roman"/>
          <w:b/>
          <w:spacing w:val="-4"/>
          <w:sz w:val="24"/>
          <w:szCs w:val="24"/>
          <w:lang w:val="en-US" w:eastAsia="zh-CN"/>
        </w:rPr>
      </w:pPr>
      <w:r>
        <w:rPr>
          <w:rFonts w:hint="eastAsia" w:ascii="宋体" w:hAnsi="宋体" w:eastAsia="宋体" w:cs="Times New Roman"/>
          <w:b/>
          <w:spacing w:val="-4"/>
          <w:sz w:val="24"/>
          <w:szCs w:val="24"/>
          <w:lang w:val="en-US" w:eastAsia="zh-CN"/>
        </w:rPr>
        <w:t>（一）展示中心开放活动部分</w:t>
      </w:r>
    </w:p>
    <w:p>
      <w:pPr>
        <w:ind w:firstLine="464" w:firstLineChars="200"/>
        <w:rPr>
          <w:rFonts w:hint="eastAsia" w:ascii="宋体" w:hAnsi="宋体" w:eastAsia="宋体" w:cs="Times New Roman"/>
          <w:spacing w:val="-4"/>
          <w:kern w:val="0"/>
          <w:sz w:val="24"/>
          <w:szCs w:val="24"/>
          <w:lang w:val="en-US" w:eastAsia="zh-CN" w:bidi="ar-SA"/>
        </w:rPr>
      </w:pPr>
      <w:r>
        <w:rPr>
          <w:rFonts w:hint="eastAsia" w:ascii="宋体" w:hAnsi="宋体" w:eastAsia="宋体" w:cs="Times New Roman"/>
          <w:spacing w:val="-4"/>
          <w:kern w:val="0"/>
          <w:sz w:val="24"/>
          <w:szCs w:val="24"/>
          <w:lang w:val="en-US" w:eastAsia="zh-CN" w:bidi="ar-SA"/>
        </w:rPr>
        <w:t>深铁瑞城暂定于2021年9月底开放展示中心，选取项目展示中心现场作为活动场地，开放活动需富有仪式感及特色，主题鲜明，突出项目品质与TOD大城氛围，包括但不限于</w:t>
      </w:r>
      <w:bookmarkStart w:id="139" w:name="_GoBack"/>
      <w:bookmarkEnd w:id="139"/>
      <w:r>
        <w:rPr>
          <w:rFonts w:hint="eastAsia" w:ascii="宋体" w:hAnsi="宋体" w:eastAsia="宋体" w:cs="Times New Roman"/>
          <w:spacing w:val="-4"/>
          <w:kern w:val="0"/>
          <w:sz w:val="24"/>
          <w:szCs w:val="24"/>
          <w:lang w:val="en-US" w:eastAsia="zh-CN" w:bidi="ar-SA"/>
        </w:rPr>
        <w:t>有：创意签到与开放仪式、现场暖场表演、媒体互动交流形式及伴手礼、活动氛围营造及包装，同时出于扩大项目影响力的考虑，本次方案中还需提供深铁瑞城宣传推广服务方案。</w:t>
      </w:r>
    </w:p>
    <w:p>
      <w:pPr>
        <w:spacing w:line="312" w:lineRule="auto"/>
        <w:ind w:firstLine="466" w:firstLineChars="200"/>
        <w:rPr>
          <w:rFonts w:hint="eastAsia" w:ascii="宋体" w:hAnsi="宋体" w:eastAsia="宋体" w:cs="Times New Roman"/>
          <w:b/>
          <w:spacing w:val="-4"/>
          <w:sz w:val="24"/>
          <w:szCs w:val="24"/>
          <w:lang w:val="en-US" w:eastAsia="zh-CN"/>
        </w:rPr>
      </w:pPr>
      <w:r>
        <w:rPr>
          <w:rFonts w:hint="eastAsia" w:ascii="宋体" w:hAnsi="宋体" w:eastAsia="宋体" w:cs="Times New Roman"/>
          <w:b/>
          <w:spacing w:val="-4"/>
          <w:sz w:val="24"/>
          <w:szCs w:val="24"/>
          <w:lang w:val="en-US" w:eastAsia="zh-CN"/>
        </w:rPr>
        <w:t>1、活动规模及流程</w:t>
      </w:r>
    </w:p>
    <w:p>
      <w:pPr>
        <w:ind w:firstLine="464" w:firstLineChars="200"/>
        <w:rPr>
          <w:rFonts w:hint="eastAsia" w:ascii="宋体" w:hAnsi="宋体" w:eastAsia="宋体" w:cs="Times New Roman"/>
          <w:spacing w:val="-4"/>
          <w:kern w:val="0"/>
          <w:sz w:val="24"/>
          <w:szCs w:val="24"/>
          <w:lang w:val="en-US" w:eastAsia="zh-CN" w:bidi="ar-SA"/>
        </w:rPr>
      </w:pPr>
      <w:r>
        <w:rPr>
          <w:rFonts w:hint="eastAsia" w:ascii="宋体" w:hAnsi="宋体" w:eastAsia="宋体" w:cs="Times New Roman"/>
          <w:spacing w:val="-4"/>
          <w:kern w:val="0"/>
          <w:sz w:val="24"/>
          <w:szCs w:val="24"/>
          <w:lang w:val="en-US" w:eastAsia="zh-CN" w:bidi="ar-SA"/>
        </w:rPr>
        <w:t>活动预计邀请行业主流媒体嘉宾，控制在100家以内，活动到场人数预计150人左右，需活动公司包装园林示范区、展示中心、样板房区域，同时做好外围导视，活动流程如下：</w:t>
      </w:r>
    </w:p>
    <w:tbl>
      <w:tblPr>
        <w:tblStyle w:val="47"/>
        <w:tblW w:w="9598"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56"/>
        <w:gridCol w:w="2090"/>
        <w:gridCol w:w="4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shd w:val="clear" w:color="auto" w:fill="BEBEBE"/>
            <w:noWrap w:val="0"/>
            <w:tcMar>
              <w:left w:w="108" w:type="dxa"/>
              <w:right w:w="108" w:type="dxa"/>
            </w:tcMar>
            <w:vAlign w:val="center"/>
          </w:tcPr>
          <w:p>
            <w:pPr>
              <w:pStyle w:val="43"/>
              <w:jc w:val="center"/>
              <w:rPr>
                <w:rFonts w:hint="eastAsia" w:ascii="华文仿宋" w:hAnsi="华文仿宋" w:eastAsia="华文仿宋" w:cs="华文仿宋"/>
                <w:color w:val="000000"/>
              </w:rPr>
            </w:pPr>
            <w:r>
              <w:rPr>
                <w:rFonts w:hint="eastAsia" w:ascii="华文仿宋" w:hAnsi="华文仿宋" w:eastAsia="华文仿宋" w:cs="华文仿宋"/>
                <w:b/>
                <w:bCs/>
                <w:color w:val="000000"/>
              </w:rPr>
              <w:t>时间</w:t>
            </w:r>
          </w:p>
        </w:tc>
        <w:tc>
          <w:tcPr>
            <w:tcW w:w="2090" w:type="dxa"/>
            <w:shd w:val="clear" w:color="auto" w:fill="BEBEBE"/>
            <w:noWrap w:val="0"/>
            <w:tcMar>
              <w:left w:w="108" w:type="dxa"/>
              <w:right w:w="108" w:type="dxa"/>
            </w:tcMar>
            <w:vAlign w:val="center"/>
          </w:tcPr>
          <w:p>
            <w:pPr>
              <w:pStyle w:val="43"/>
              <w:jc w:val="center"/>
              <w:rPr>
                <w:rFonts w:hint="eastAsia" w:ascii="华文仿宋" w:hAnsi="华文仿宋" w:eastAsia="华文仿宋" w:cs="华文仿宋"/>
                <w:color w:val="000000"/>
              </w:rPr>
            </w:pPr>
            <w:r>
              <w:rPr>
                <w:rFonts w:hint="eastAsia" w:ascii="华文仿宋" w:hAnsi="华文仿宋" w:eastAsia="华文仿宋" w:cs="华文仿宋"/>
                <w:b/>
                <w:bCs/>
                <w:color w:val="000000"/>
              </w:rPr>
              <w:t>流程项</w:t>
            </w:r>
          </w:p>
        </w:tc>
        <w:tc>
          <w:tcPr>
            <w:tcW w:w="4952" w:type="dxa"/>
            <w:shd w:val="clear" w:color="auto" w:fill="BEBEBE"/>
            <w:noWrap w:val="0"/>
            <w:tcMar>
              <w:left w:w="108" w:type="dxa"/>
              <w:right w:w="108" w:type="dxa"/>
            </w:tcMar>
            <w:vAlign w:val="center"/>
          </w:tcPr>
          <w:p>
            <w:pPr>
              <w:pStyle w:val="43"/>
              <w:jc w:val="center"/>
              <w:rPr>
                <w:rFonts w:hint="eastAsia" w:ascii="华文仿宋" w:hAnsi="华文仿宋" w:eastAsia="华文仿宋" w:cs="华文仿宋"/>
                <w:color w:val="000000"/>
              </w:rPr>
            </w:pPr>
            <w:r>
              <w:rPr>
                <w:rFonts w:hint="eastAsia" w:ascii="华文仿宋" w:hAnsi="华文仿宋" w:eastAsia="华文仿宋" w:cs="华文仿宋"/>
                <w:b/>
                <w:bCs/>
                <w:color w:val="000000"/>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9：30-10：00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媒体、嘉宾签到、</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嘉宾签到，交流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10：00-10：05</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开场表演</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主持人开场、开场表演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10：05-10：10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领导发言</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主持人开场、领导致辞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10：10-10：30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项目推荐</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项目代表上台讲解项目价值及影视片播放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10：30-10：40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媒体推荐</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媒体代表发言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10：40-10：45</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开放仪式</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举行开放仪式，合影留念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blCellSpacing w:w="0" w:type="dxa"/>
          <w:jc w:val="center"/>
        </w:trPr>
        <w:tc>
          <w:tcPr>
            <w:tcW w:w="2556"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10:45-11:30</w:t>
            </w:r>
          </w:p>
        </w:tc>
        <w:tc>
          <w:tcPr>
            <w:tcW w:w="2090"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自由参观</w:t>
            </w:r>
          </w:p>
        </w:tc>
        <w:tc>
          <w:tcPr>
            <w:tcW w:w="4952" w:type="dxa"/>
            <w:noWrap w:val="0"/>
            <w:tcMar>
              <w:left w:w="108" w:type="dxa"/>
              <w:right w:w="108" w:type="dxa"/>
            </w:tcMar>
            <w:vAlign w:val="center"/>
          </w:tcPr>
          <w:p>
            <w:pPr>
              <w:jc w:val="center"/>
              <w:rPr>
                <w:rFonts w:hint="eastAsia" w:ascii="华文仿宋" w:hAnsi="华文仿宋" w:eastAsia="华文仿宋" w:cs="华文仿宋"/>
                <w:color w:val="000000"/>
                <w:sz w:val="24"/>
                <w:szCs w:val="24"/>
              </w:rPr>
            </w:pPr>
            <w:r>
              <w:rPr>
                <w:rFonts w:hint="eastAsia" w:ascii="华文仿宋" w:hAnsi="华文仿宋" w:eastAsia="华文仿宋" w:cs="华文仿宋"/>
                <w:color w:val="000000"/>
                <w:sz w:val="24"/>
                <w:szCs w:val="24"/>
              </w:rPr>
              <w:t>销售代表陪同讲解</w:t>
            </w:r>
          </w:p>
        </w:tc>
      </w:tr>
    </w:tbl>
    <w:p>
      <w:pPr>
        <w:spacing w:line="312" w:lineRule="auto"/>
        <w:ind w:firstLine="466" w:firstLineChars="200"/>
        <w:rPr>
          <w:rFonts w:hint="eastAsia" w:ascii="宋体" w:hAnsi="宋体" w:eastAsia="宋体" w:cs="Times New Roman"/>
          <w:b/>
          <w:spacing w:val="-4"/>
          <w:sz w:val="24"/>
          <w:szCs w:val="24"/>
          <w:lang w:val="en-US" w:eastAsia="zh-CN"/>
        </w:rPr>
      </w:pPr>
      <w:r>
        <w:rPr>
          <w:rFonts w:hint="eastAsia" w:ascii="宋体" w:hAnsi="宋体" w:eastAsia="宋体" w:cs="Times New Roman"/>
          <w:b/>
          <w:spacing w:val="-4"/>
          <w:sz w:val="24"/>
          <w:szCs w:val="24"/>
          <w:lang w:val="en-US" w:eastAsia="zh-CN"/>
        </w:rPr>
        <w:t>2、活动方案清单</w:t>
      </w:r>
    </w:p>
    <w:p>
      <w:pPr>
        <w:ind w:firstLine="464" w:firstLineChars="200"/>
        <w:rPr>
          <w:rFonts w:hint="eastAsia" w:ascii="宋体" w:hAnsi="宋体" w:eastAsia="宋体" w:cs="Times New Roman"/>
          <w:spacing w:val="-4"/>
          <w:kern w:val="0"/>
          <w:sz w:val="24"/>
          <w:szCs w:val="24"/>
          <w:lang w:val="en-US" w:eastAsia="zh-CN" w:bidi="ar-SA"/>
        </w:rPr>
      </w:pPr>
      <w:r>
        <w:rPr>
          <w:rFonts w:hint="eastAsia" w:ascii="宋体" w:hAnsi="宋体" w:eastAsia="宋体" w:cs="Times New Roman"/>
          <w:spacing w:val="-4"/>
          <w:kern w:val="0"/>
          <w:sz w:val="24"/>
          <w:szCs w:val="24"/>
          <w:lang w:val="en-US" w:eastAsia="zh-CN" w:bidi="ar-SA"/>
        </w:rPr>
        <w:t>活动涉及到的人员及物料需包括但不限于以下内容：</w:t>
      </w:r>
    </w:p>
    <w:tbl>
      <w:tblPr>
        <w:tblStyle w:val="47"/>
        <w:tblW w:w="9119" w:type="dxa"/>
        <w:tblInd w:w="93" w:type="dxa"/>
        <w:tblLayout w:type="fixed"/>
        <w:tblCellMar>
          <w:top w:w="0" w:type="dxa"/>
          <w:left w:w="108" w:type="dxa"/>
          <w:bottom w:w="0" w:type="dxa"/>
          <w:right w:w="108" w:type="dxa"/>
        </w:tblCellMar>
      </w:tblPr>
      <w:tblGrid>
        <w:gridCol w:w="1793"/>
        <w:gridCol w:w="1080"/>
        <w:gridCol w:w="6246"/>
      </w:tblGrid>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ascii="微软雅黑 Light" w:hAnsi="微软雅黑 Light" w:eastAsia="微软雅黑 Light" w:cs="微软雅黑 Light"/>
                <w:b/>
                <w:bCs/>
                <w:color w:val="000000"/>
                <w:sz w:val="18"/>
                <w:szCs w:val="18"/>
              </w:rPr>
            </w:pPr>
            <w:r>
              <w:rPr>
                <w:rFonts w:hint="eastAsia" w:ascii="微软雅黑 Light" w:hAnsi="微软雅黑 Light" w:eastAsia="微软雅黑 Light" w:cs="微软雅黑 Light"/>
                <w:b/>
                <w:bCs/>
                <w:color w:val="000000"/>
                <w:kern w:val="0"/>
                <w:sz w:val="18"/>
                <w:szCs w:val="18"/>
                <w:lang w:bidi="ar"/>
              </w:rPr>
              <w:t>项目</w:t>
            </w:r>
          </w:p>
        </w:tc>
        <w:tc>
          <w:tcPr>
            <w:tcW w:w="1080"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Light" w:hAnsi="微软雅黑 Light" w:eastAsia="微软雅黑 Light" w:cs="微软雅黑 Light"/>
                <w:b/>
                <w:bCs/>
                <w:color w:val="000000"/>
                <w:sz w:val="18"/>
                <w:szCs w:val="18"/>
              </w:rPr>
            </w:pPr>
            <w:r>
              <w:rPr>
                <w:rFonts w:hint="eastAsia" w:ascii="微软雅黑 Light" w:hAnsi="微软雅黑 Light" w:eastAsia="微软雅黑 Light" w:cs="微软雅黑 Light"/>
                <w:b/>
                <w:bCs/>
                <w:color w:val="000000"/>
                <w:kern w:val="0"/>
                <w:sz w:val="18"/>
                <w:szCs w:val="18"/>
                <w:lang w:bidi="ar"/>
              </w:rPr>
              <w:t>数量</w:t>
            </w:r>
          </w:p>
        </w:tc>
        <w:tc>
          <w:tcPr>
            <w:tcW w:w="6246"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pPr>
              <w:widowControl/>
              <w:spacing w:line="440" w:lineRule="exact"/>
              <w:jc w:val="center"/>
              <w:textAlignment w:val="center"/>
              <w:rPr>
                <w:rFonts w:hint="eastAsia" w:ascii="微软雅黑 Light" w:hAnsi="微软雅黑 Light" w:eastAsia="微软雅黑 Light" w:cs="微软雅黑 Light"/>
                <w:b/>
                <w:bCs/>
                <w:color w:val="000000"/>
                <w:sz w:val="18"/>
                <w:szCs w:val="18"/>
              </w:rPr>
            </w:pPr>
            <w:r>
              <w:rPr>
                <w:rFonts w:hint="eastAsia" w:ascii="微软雅黑 Light" w:hAnsi="微软雅黑 Light" w:eastAsia="微软雅黑 Light" w:cs="微软雅黑 Light"/>
                <w:b/>
                <w:bCs/>
                <w:color w:val="000000"/>
                <w:kern w:val="0"/>
                <w:sz w:val="18"/>
                <w:szCs w:val="18"/>
                <w:lang w:bidi="ar"/>
              </w:rPr>
              <w:t>说明</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导视牌</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4</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包含签到桌椅、台花、台卡、胸花</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迎宾花柱</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8</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金属框架结构，汽车工艺烤漆，新鲜花艺花材布置，项目LOGO立体字</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签到部分</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需结合项目调性及活动氛围，定制创意签到组景及签到形式，含签到用具等</w:t>
            </w:r>
          </w:p>
          <w:p>
            <w:pPr>
              <w:widowControl/>
              <w:spacing w:line="4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（需有同等价位主推与两款备选方案）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合影组景</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主题氛围合影造型，定制项目LOGO字，情景装饰</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主持人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知名主持人，需含服装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模特礼仪</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8</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身高1.78M，专业模特礼仪人员，含服装，含化妆，含服装（需样板房摆拍）</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开放仪式</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形式自拟 要求体现项目品质与氛围（需有同等价位主推与两款备选方案）</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户外音响设备</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户外中型活动，专业音响设备，含音响师</w:t>
            </w:r>
          </w:p>
        </w:tc>
      </w:tr>
      <w:tr>
        <w:tblPrEx>
          <w:tblCellMar>
            <w:top w:w="0" w:type="dxa"/>
            <w:left w:w="108" w:type="dxa"/>
            <w:bottom w:w="0" w:type="dxa"/>
            <w:right w:w="108" w:type="dxa"/>
          </w:tblCellMar>
        </w:tblPrEx>
        <w:trPr>
          <w:trHeight w:val="859"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启动仪式</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12MM夹板木结构，汽车工艺烤漆，项目LOGO立体字，活动主题立体字，干冰道具等</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金片机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2</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氛围庆典专用金片机设备</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舞台媒体区</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需要包括LED屏幕（尺寸7.5*3m）、舞台（尺寸7.5*4m），媒体嘉宾座椅150张、演讲台、舞台音响设备及氛围包装（其中氛围包装形式自拟）</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摄影师</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专业摄影师，含器械</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摄像师</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专业摄像师，含器械（含15S小视频制作）</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开场演绎</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专业演绎人员，含服装，含演绎道具（形式自拟，符合项目调性）</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暖场演绎</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3</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宋体" w:hAnsi="宋体" w:cs="宋体"/>
                <w:color w:val="000000"/>
                <w:sz w:val="18"/>
                <w:szCs w:val="18"/>
              </w:rPr>
            </w:pPr>
            <w:r>
              <w:rPr>
                <w:rFonts w:hint="eastAsia" w:ascii="微软雅黑" w:hAnsi="微软雅黑" w:eastAsia="微软雅黑" w:cs="微软雅黑"/>
                <w:color w:val="000000"/>
                <w:kern w:val="0"/>
                <w:sz w:val="18"/>
                <w:szCs w:val="18"/>
                <w:lang w:bidi="ar"/>
              </w:rPr>
              <w:t>专业演绎人员，含服装，含演绎道具（形式自拟，符合项目调性）</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暖场茶歇</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300</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精致糕点，饮品等，含桌面布置</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茶歇糕点师傅</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2</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具备花式切水果、摆盘等专业师傅，含服装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服务员</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4</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专业酒店级服务员，含服装</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媒体费用</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1</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sz w:val="18"/>
                <w:szCs w:val="18"/>
              </w:rPr>
            </w:pPr>
            <w:r>
              <w:rPr>
                <w:rFonts w:hint="eastAsia" w:ascii="微软雅黑" w:hAnsi="微软雅黑" w:eastAsia="微软雅黑" w:cs="微软雅黑"/>
                <w:color w:val="000000"/>
                <w:kern w:val="0"/>
                <w:sz w:val="18"/>
                <w:szCs w:val="18"/>
                <w:lang w:bidi="ar"/>
              </w:rPr>
              <w:t>预计100家媒体费用</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伴手礼</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宋体" w:hAnsi="宋体" w:cs="宋体"/>
                <w:color w:val="000000"/>
                <w:kern w:val="0"/>
                <w:sz w:val="18"/>
                <w:szCs w:val="18"/>
                <w:lang w:bidi="ar"/>
              </w:rPr>
            </w:pPr>
            <w:r>
              <w:rPr>
                <w:rFonts w:hint="eastAsia" w:ascii="微软雅黑" w:hAnsi="微软雅黑" w:eastAsia="微软雅黑" w:cs="微软雅黑"/>
                <w:color w:val="000000"/>
                <w:kern w:val="0"/>
                <w:sz w:val="18"/>
                <w:szCs w:val="18"/>
                <w:lang w:bidi="ar"/>
              </w:rPr>
              <w:t>150</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ind w:firstLine="1800" w:firstLineChars="1000"/>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单价在200元/份的精致礼品，最终以双方协商为准</w:t>
            </w:r>
          </w:p>
        </w:tc>
      </w:tr>
      <w:tr>
        <w:tblPrEx>
          <w:tblCellMar>
            <w:top w:w="0" w:type="dxa"/>
            <w:left w:w="108" w:type="dxa"/>
            <w:bottom w:w="0" w:type="dxa"/>
            <w:right w:w="108" w:type="dxa"/>
          </w:tblCellMar>
        </w:tblPrEx>
        <w:trPr>
          <w:trHeight w:val="90"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宣传推广</w:t>
            </w:r>
          </w:p>
        </w:tc>
        <w:tc>
          <w:tcPr>
            <w:tcW w:w="1080"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6</w:t>
            </w:r>
          </w:p>
        </w:tc>
        <w:tc>
          <w:tcPr>
            <w:tcW w:w="6246" w:type="dxa"/>
            <w:tcBorders>
              <w:top w:val="single" w:color="000000" w:sz="4" w:space="0"/>
              <w:left w:val="single" w:color="000000" w:sz="4" w:space="0"/>
              <w:bottom w:val="single" w:color="000000" w:sz="4" w:space="0"/>
              <w:right w:val="single" w:color="000000" w:sz="4" w:space="0"/>
            </w:tcBorders>
            <w:noWrap/>
            <w:vAlign w:val="center"/>
          </w:tcPr>
          <w:p>
            <w:pPr>
              <w:widowControl/>
              <w:spacing w:line="440" w:lineRule="exact"/>
              <w:jc w:val="center"/>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需包括但不限于以下自媒体大V：壹地产、房产大象、楼兔子、地产凝眸、买房之前、中国房地产报大湾区、深圳概率、深晚一兵。参选</w:t>
            </w:r>
            <w:r>
              <w:rPr>
                <w:rFonts w:ascii="微软雅黑" w:hAnsi="微软雅黑" w:eastAsia="微软雅黑" w:cs="微软雅黑"/>
                <w:color w:val="000000"/>
                <w:kern w:val="0"/>
                <w:sz w:val="18"/>
                <w:szCs w:val="18"/>
                <w:lang w:bidi="ar"/>
              </w:rPr>
              <w:t>单位</w:t>
            </w:r>
            <w:r>
              <w:rPr>
                <w:rFonts w:hint="eastAsia" w:ascii="微软雅黑" w:hAnsi="微软雅黑" w:eastAsia="微软雅黑" w:cs="微软雅黑"/>
                <w:color w:val="000000"/>
                <w:kern w:val="0"/>
                <w:sz w:val="18"/>
                <w:szCs w:val="18"/>
                <w:lang w:bidi="ar"/>
              </w:rPr>
              <w:t>需标注前述8家大V的原创</w:t>
            </w:r>
            <w:r>
              <w:rPr>
                <w:rFonts w:ascii="微软雅黑" w:hAnsi="微软雅黑" w:eastAsia="微软雅黑" w:cs="微软雅黑"/>
                <w:color w:val="000000"/>
                <w:kern w:val="0"/>
                <w:sz w:val="18"/>
                <w:szCs w:val="18"/>
                <w:lang w:bidi="ar"/>
              </w:rPr>
              <w:t>软文</w:t>
            </w:r>
            <w:r>
              <w:rPr>
                <w:rFonts w:hint="eastAsia" w:ascii="微软雅黑" w:hAnsi="微软雅黑" w:eastAsia="微软雅黑" w:cs="微软雅黑"/>
                <w:color w:val="000000"/>
                <w:kern w:val="0"/>
                <w:sz w:val="18"/>
                <w:szCs w:val="18"/>
                <w:lang w:bidi="ar"/>
              </w:rPr>
              <w:t>发布或短视频的单价，并推荐其中6家供甲方使用。甲方可根据</w:t>
            </w:r>
            <w:r>
              <w:rPr>
                <w:rFonts w:ascii="微软雅黑" w:hAnsi="微软雅黑" w:eastAsia="微软雅黑" w:cs="微软雅黑"/>
                <w:color w:val="000000"/>
                <w:kern w:val="0"/>
                <w:sz w:val="18"/>
                <w:szCs w:val="18"/>
                <w:lang w:bidi="ar"/>
              </w:rPr>
              <w:t>实际</w:t>
            </w:r>
            <w:r>
              <w:rPr>
                <w:rFonts w:hint="eastAsia" w:ascii="微软雅黑" w:hAnsi="微软雅黑" w:eastAsia="微软雅黑" w:cs="微软雅黑"/>
                <w:color w:val="000000"/>
                <w:kern w:val="0"/>
                <w:sz w:val="18"/>
                <w:szCs w:val="18"/>
                <w:lang w:bidi="ar"/>
              </w:rPr>
              <w:t>需求在</w:t>
            </w:r>
            <w:r>
              <w:rPr>
                <w:rFonts w:ascii="微软雅黑" w:hAnsi="微软雅黑" w:eastAsia="微软雅黑" w:cs="微软雅黑"/>
                <w:color w:val="000000"/>
                <w:kern w:val="0"/>
                <w:sz w:val="18"/>
                <w:szCs w:val="18"/>
                <w:lang w:bidi="ar"/>
              </w:rPr>
              <w:t>这</w:t>
            </w:r>
            <w:r>
              <w:rPr>
                <w:rFonts w:hint="eastAsia" w:ascii="微软雅黑" w:hAnsi="微软雅黑" w:eastAsia="微软雅黑" w:cs="微软雅黑"/>
                <w:color w:val="000000"/>
                <w:kern w:val="0"/>
                <w:sz w:val="18"/>
                <w:szCs w:val="18"/>
                <w:lang w:bidi="ar"/>
              </w:rPr>
              <w:t>8家大V范围内更换媒体，最终发布</w:t>
            </w:r>
            <w:r>
              <w:rPr>
                <w:rFonts w:ascii="微软雅黑" w:hAnsi="微软雅黑" w:eastAsia="微软雅黑" w:cs="微软雅黑"/>
                <w:color w:val="000000"/>
                <w:kern w:val="0"/>
                <w:sz w:val="18"/>
                <w:szCs w:val="18"/>
                <w:lang w:bidi="ar"/>
              </w:rPr>
              <w:t>总</w:t>
            </w:r>
            <w:r>
              <w:rPr>
                <w:rFonts w:hint="eastAsia" w:ascii="微软雅黑" w:hAnsi="微软雅黑" w:eastAsia="微软雅黑" w:cs="微软雅黑"/>
                <w:color w:val="000000"/>
                <w:kern w:val="0"/>
                <w:sz w:val="18"/>
                <w:szCs w:val="18"/>
                <w:lang w:bidi="ar"/>
              </w:rPr>
              <w:t>篇</w:t>
            </w:r>
            <w:r>
              <w:rPr>
                <w:rFonts w:ascii="微软雅黑" w:hAnsi="微软雅黑" w:eastAsia="微软雅黑" w:cs="微软雅黑"/>
                <w:color w:val="000000"/>
                <w:kern w:val="0"/>
                <w:sz w:val="18"/>
                <w:szCs w:val="18"/>
                <w:lang w:bidi="ar"/>
              </w:rPr>
              <w:t>数不超过</w:t>
            </w:r>
            <w:r>
              <w:rPr>
                <w:rFonts w:hint="eastAsia" w:ascii="微软雅黑" w:hAnsi="微软雅黑" w:eastAsia="微软雅黑" w:cs="微软雅黑"/>
                <w:color w:val="000000"/>
                <w:kern w:val="0"/>
                <w:sz w:val="18"/>
                <w:szCs w:val="18"/>
                <w:lang w:bidi="ar"/>
              </w:rPr>
              <w:t>6篇</w:t>
            </w:r>
            <w:r>
              <w:rPr>
                <w:rFonts w:ascii="微软雅黑" w:hAnsi="微软雅黑" w:eastAsia="微软雅黑" w:cs="微软雅黑"/>
                <w:color w:val="000000"/>
                <w:kern w:val="0"/>
                <w:sz w:val="18"/>
                <w:szCs w:val="18"/>
                <w:lang w:bidi="ar"/>
              </w:rPr>
              <w:t>，</w:t>
            </w:r>
            <w:r>
              <w:rPr>
                <w:rFonts w:hint="eastAsia" w:ascii="微软雅黑" w:hAnsi="微软雅黑" w:eastAsia="微软雅黑" w:cs="微软雅黑"/>
                <w:color w:val="000000"/>
                <w:kern w:val="0"/>
                <w:sz w:val="18"/>
                <w:szCs w:val="18"/>
                <w:lang w:bidi="ar"/>
              </w:rPr>
              <w:t>据实结算，</w:t>
            </w:r>
            <w:r>
              <w:rPr>
                <w:rFonts w:ascii="微软雅黑" w:hAnsi="微软雅黑" w:eastAsia="微软雅黑" w:cs="微软雅黑"/>
                <w:color w:val="000000"/>
                <w:kern w:val="0"/>
                <w:sz w:val="18"/>
                <w:szCs w:val="18"/>
                <w:lang w:bidi="ar"/>
              </w:rPr>
              <w:t>结算价不超过推荐总价</w:t>
            </w:r>
            <w:r>
              <w:rPr>
                <w:rFonts w:hint="eastAsia" w:ascii="微软雅黑" w:hAnsi="微软雅黑" w:eastAsia="微软雅黑" w:cs="微软雅黑"/>
                <w:color w:val="000000"/>
                <w:kern w:val="0"/>
                <w:sz w:val="18"/>
                <w:szCs w:val="18"/>
                <w:lang w:bidi="ar"/>
              </w:rPr>
              <w:t>。</w:t>
            </w:r>
          </w:p>
        </w:tc>
      </w:tr>
      <w:tr>
        <w:tblPrEx>
          <w:tblCellMar>
            <w:top w:w="0" w:type="dxa"/>
            <w:left w:w="108" w:type="dxa"/>
            <w:bottom w:w="0" w:type="dxa"/>
            <w:right w:w="108" w:type="dxa"/>
          </w:tblCellMar>
        </w:tblPrEx>
        <w:trPr>
          <w:trHeight w:val="90" w:hRule="atLeast"/>
        </w:trPr>
        <w:tc>
          <w:tcPr>
            <w:tcW w:w="9119" w:type="dxa"/>
            <w:gridSpan w:val="3"/>
            <w:tcBorders>
              <w:top w:val="single" w:color="000000" w:sz="4" w:space="0"/>
              <w:left w:val="single" w:color="000000" w:sz="4" w:space="0"/>
              <w:bottom w:val="single" w:color="000000" w:sz="4" w:space="0"/>
              <w:right w:val="single" w:color="000000" w:sz="4" w:space="0"/>
            </w:tcBorders>
            <w:noWrap/>
            <w:vAlign w:val="center"/>
          </w:tcPr>
          <w:p>
            <w:pPr>
              <w:spacing w:line="440" w:lineRule="exact"/>
              <w:jc w:val="center"/>
              <w:rPr>
                <w:rFonts w:hint="eastAsia" w:ascii="宋体" w:hAnsi="宋体" w:cs="宋体"/>
                <w:color w:val="000000"/>
                <w:sz w:val="18"/>
                <w:szCs w:val="18"/>
              </w:rPr>
            </w:pPr>
            <w:r>
              <w:rPr>
                <w:rFonts w:hint="eastAsia" w:ascii="楷体" w:hAnsi="楷体" w:eastAsia="楷体" w:cs="宋体"/>
                <w:b/>
                <w:bCs/>
                <w:color w:val="000000"/>
                <w:kern w:val="0"/>
                <w:sz w:val="18"/>
                <w:szCs w:val="24"/>
              </w:rPr>
              <w:t>注意：以上内容仅为必须要包含的服务项目，不代表全部服务项目，具体物料清单需根据各自方案进行细化。</w:t>
            </w:r>
          </w:p>
        </w:tc>
      </w:tr>
    </w:tbl>
    <w:p>
      <w:pPr>
        <w:spacing w:line="440" w:lineRule="exact"/>
        <w:rPr>
          <w:rFonts w:hint="eastAsia" w:ascii="仿宋_GB2312" w:hAnsi="宋体" w:eastAsia="仿宋_GB2312"/>
          <w:b/>
          <w:bCs/>
          <w:color w:val="000000"/>
          <w:sz w:val="32"/>
          <w:szCs w:val="32"/>
        </w:rPr>
      </w:pPr>
    </w:p>
    <w:p>
      <w:pPr>
        <w:ind w:firstLine="466" w:firstLineChars="200"/>
        <w:rPr>
          <w:rFonts w:hint="eastAsia" w:ascii="宋体" w:hAnsi="宋体" w:eastAsia="宋体" w:cs="Times New Roman"/>
          <w:b/>
          <w:bCs/>
          <w:spacing w:val="-4"/>
          <w:kern w:val="0"/>
          <w:sz w:val="24"/>
          <w:szCs w:val="24"/>
          <w:lang w:val="en-US" w:eastAsia="zh-CN" w:bidi="ar-SA"/>
        </w:rPr>
      </w:pPr>
      <w:r>
        <w:rPr>
          <w:rFonts w:hint="eastAsia" w:ascii="宋体" w:hAnsi="宋体" w:eastAsia="宋体" w:cs="Times New Roman"/>
          <w:b/>
          <w:bCs/>
          <w:spacing w:val="-4"/>
          <w:kern w:val="0"/>
          <w:sz w:val="24"/>
          <w:szCs w:val="24"/>
          <w:lang w:val="en-US" w:eastAsia="zh-CN" w:bidi="ar-SA"/>
        </w:rPr>
        <w:t>（二）系列暖场活动</w:t>
      </w:r>
    </w:p>
    <w:p>
      <w:pPr>
        <w:ind w:firstLine="464" w:firstLineChars="200"/>
        <w:rPr>
          <w:rFonts w:hint="eastAsia" w:ascii="宋体" w:hAnsi="宋体" w:eastAsia="宋体" w:cs="Times New Roman"/>
          <w:spacing w:val="-4"/>
          <w:kern w:val="0"/>
          <w:sz w:val="24"/>
          <w:szCs w:val="24"/>
          <w:lang w:val="en-US" w:eastAsia="zh-CN" w:bidi="ar-SA"/>
        </w:rPr>
      </w:pPr>
      <w:r>
        <w:rPr>
          <w:rFonts w:hint="eastAsia" w:ascii="宋体" w:hAnsi="宋体" w:eastAsia="宋体" w:cs="Times New Roman"/>
          <w:spacing w:val="-4"/>
          <w:kern w:val="0"/>
          <w:sz w:val="24"/>
          <w:szCs w:val="24"/>
          <w:lang w:val="en-US" w:eastAsia="zh-CN" w:bidi="ar-SA"/>
        </w:rPr>
        <w:t>考虑展示中心开放后人流增大，拟于项目现场举行暖场活动，一方面吸引更多客户上门，一方面增加客户停留时间。拟于各节假日，选取深铁瑞城展示中心作为活动场地，活动内容需符合TOD大城主题，有趣味性，能吸引客户停留。计划共举办4场暖场活动，需给出每场活动的主题及创意建议。</w:t>
      </w:r>
    </w:p>
    <w:p>
      <w:pPr>
        <w:ind w:firstLine="466" w:firstLineChars="200"/>
        <w:rPr>
          <w:rFonts w:hint="eastAsia" w:ascii="宋体" w:hAnsi="宋体" w:eastAsia="宋体" w:cs="Times New Roman"/>
          <w:b/>
          <w:bCs/>
          <w:spacing w:val="-4"/>
          <w:kern w:val="0"/>
          <w:sz w:val="24"/>
          <w:szCs w:val="24"/>
          <w:lang w:val="en-US" w:eastAsia="zh-CN" w:bidi="ar-SA"/>
        </w:rPr>
      </w:pPr>
      <w:r>
        <w:rPr>
          <w:rFonts w:hint="eastAsia" w:ascii="宋体" w:hAnsi="宋体" w:eastAsia="宋体" w:cs="Times New Roman"/>
          <w:b/>
          <w:bCs/>
          <w:spacing w:val="-4"/>
          <w:kern w:val="0"/>
          <w:sz w:val="24"/>
          <w:szCs w:val="24"/>
          <w:lang w:val="en-US" w:eastAsia="zh-CN" w:bidi="ar-SA"/>
        </w:rPr>
        <w:t>（三）现场包装设计制作部分</w:t>
      </w:r>
    </w:p>
    <w:tbl>
      <w:tblPr>
        <w:tblStyle w:val="47"/>
        <w:tblW w:w="0" w:type="auto"/>
        <w:tblInd w:w="-165" w:type="dxa"/>
        <w:tblLayout w:type="autofit"/>
        <w:tblCellMar>
          <w:top w:w="0" w:type="dxa"/>
          <w:left w:w="0" w:type="dxa"/>
          <w:bottom w:w="0" w:type="dxa"/>
          <w:right w:w="0" w:type="dxa"/>
        </w:tblCellMar>
      </w:tblPr>
      <w:tblGrid>
        <w:gridCol w:w="513"/>
        <w:gridCol w:w="1315"/>
        <w:gridCol w:w="4568"/>
        <w:gridCol w:w="2033"/>
        <w:gridCol w:w="395"/>
        <w:gridCol w:w="398"/>
      </w:tblGrid>
      <w:tr>
        <w:tblPrEx>
          <w:tblCellMar>
            <w:top w:w="0" w:type="dxa"/>
            <w:left w:w="0" w:type="dxa"/>
            <w:bottom w:w="0" w:type="dxa"/>
            <w:right w:w="0" w:type="dxa"/>
          </w:tblCellMar>
        </w:tblPrEx>
        <w:trPr>
          <w:trHeight w:val="573" w:hRule="atLeast"/>
        </w:trPr>
        <w:tc>
          <w:tcPr>
            <w:tcW w:w="0" w:type="auto"/>
            <w:gridSpan w:val="6"/>
            <w:tcBorders>
              <w:top w:val="single" w:color="000000" w:sz="8"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32"/>
                <w:szCs w:val="32"/>
              </w:rPr>
            </w:pPr>
            <w:r>
              <w:rPr>
                <w:rFonts w:hint="eastAsia" w:ascii="微软雅黑" w:hAnsi="微软雅黑" w:eastAsia="微软雅黑" w:cs="微软雅黑"/>
                <w:b/>
                <w:color w:val="000000"/>
                <w:kern w:val="0"/>
                <w:sz w:val="32"/>
                <w:szCs w:val="32"/>
                <w:lang w:bidi="ar"/>
              </w:rPr>
              <w:t>深铁瑞城展示中心整体营销物料包装清单</w:t>
            </w:r>
          </w:p>
        </w:tc>
      </w:tr>
      <w:tr>
        <w:tblPrEx>
          <w:tblCellMar>
            <w:top w:w="0" w:type="dxa"/>
            <w:left w:w="0" w:type="dxa"/>
            <w:bottom w:w="0" w:type="dxa"/>
            <w:right w:w="0" w:type="dxa"/>
          </w:tblCellMar>
        </w:tblPrEx>
        <w:trPr>
          <w:trHeight w:val="372"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序号</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项目</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备注</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规格</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单位</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数量</w:t>
            </w:r>
          </w:p>
        </w:tc>
      </w:tr>
      <w:tr>
        <w:tblPrEx>
          <w:tblCellMar>
            <w:top w:w="0" w:type="dxa"/>
            <w:left w:w="0" w:type="dxa"/>
            <w:bottom w:w="0" w:type="dxa"/>
            <w:right w:w="0" w:type="dxa"/>
          </w:tblCellMar>
        </w:tblPrEx>
        <w:trPr>
          <w:trHeight w:val="443" w:hRule="atLeast"/>
        </w:trPr>
        <w:tc>
          <w:tcPr>
            <w:tcW w:w="0" w:type="auto"/>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一、外围区域</w:t>
            </w:r>
          </w:p>
        </w:tc>
      </w:tr>
      <w:tr>
        <w:tblPrEx>
          <w:tblCellMar>
            <w:top w:w="0" w:type="dxa"/>
            <w:left w:w="0" w:type="dxa"/>
            <w:bottom w:w="0" w:type="dxa"/>
            <w:right w:w="0" w:type="dxa"/>
          </w:tblCellMar>
        </w:tblPrEx>
        <w:trPr>
          <w:trHeight w:val="1229"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主入口精神堡垒</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304#1.5MM厚度不锈钢金属结构，内置50*50MM方通金属框架，大理石结构，烤漆，双面，发光LOGO字，含地基混凝土加固</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1200*6000MM（H）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主入口道闸</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智能广告道闸，含双面广告画面，200万高清摄像头，控制机箱，显示屏，补光灯，无线遥控器，地感线圈，车辆检测器</w:t>
            </w:r>
            <w:r>
              <w:rPr>
                <w:rStyle w:val="197"/>
                <w:rFonts w:hint="default"/>
                <w:lang w:bidi="ar"/>
              </w:rPr>
              <w:br w:type="textWrapping"/>
            </w:r>
            <w:r>
              <w:rPr>
                <w:rStyle w:val="82"/>
                <w:rFonts w:hint="default"/>
                <w:color w:val="000000"/>
                <w:lang w:bidi="ar"/>
              </w:rPr>
              <w:t>（甲方有权要求更换画面3次，质保1年）</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3800MM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套</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230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岗亭</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80*80MM方通结构立柱，底座1.5MM不锈钢板，15MM钢板底座，12MM钢化玻璃，地毯，灯饰，1匹空调，整体电缆电路布置，内置配重，整体烤漆</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1800*1800*2600MM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项</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2</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通道左右两侧道旗</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80*80MM方通结构立柱，底座1.5MM不锈钢板，10MM钢板底座，内置配重，整体烤漆，高精度喷绘双面画面</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800*4500MM（H）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20</w:t>
            </w:r>
          </w:p>
        </w:tc>
      </w:tr>
      <w:tr>
        <w:tblPrEx>
          <w:tblCellMar>
            <w:top w:w="0" w:type="dxa"/>
            <w:left w:w="0" w:type="dxa"/>
            <w:bottom w:w="0" w:type="dxa"/>
            <w:right w:w="0" w:type="dxa"/>
          </w:tblCellMar>
        </w:tblPrEx>
        <w:trPr>
          <w:trHeight w:val="7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通道左右两侧魔方</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25*25MM方通金属框架，裱9MM夹板，高精度喷绘画面</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1200*1200*1200MM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22</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横梁灯箱</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30*30MM方通金属框架，灯箱软膜，内置LED灯饰，含电缆电路布置</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8000*1200MM（H）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展示中心导视牌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304#1.5MM厚度不锈钢金属结构，整体烤漆，双面，发光LOGO及主标文字</w:t>
            </w:r>
            <w:r>
              <w:rPr>
                <w:rStyle w:val="197"/>
                <w:rFonts w:hint="default"/>
                <w:lang w:bidi="ar"/>
              </w:rPr>
              <w:br w:type="textWrapping"/>
            </w:r>
            <w:r>
              <w:rPr>
                <w:rStyle w:val="82"/>
                <w:rFonts w:hint="default"/>
                <w:color w:val="000000"/>
                <w:lang w:bidi="ar"/>
              </w:rPr>
              <w:t>（甲方有权要求修改尺寸，工艺材质及造型样式，场地复原）</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800*3000MM（H）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展示中心昭示性背景板</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铝合金桁架结构，双面框架，双面刀刮布打UV画面，四周装饰相框边条</w:t>
            </w:r>
            <w:r>
              <w:rPr>
                <w:rStyle w:val="197"/>
                <w:rFonts w:hint="default"/>
                <w:lang w:bidi="ar"/>
              </w:rPr>
              <w:br w:type="textWrapping"/>
            </w:r>
            <w:r>
              <w:rPr>
                <w:rStyle w:val="82"/>
                <w:rFonts w:hint="default"/>
                <w:color w:val="000000"/>
                <w:lang w:bidi="ar"/>
              </w:rPr>
              <w:t>（甲方有权要求修改尺寸，工艺材质及造型样式，更换画面2次）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5000*3000MM（H）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项</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5</w:t>
            </w:r>
          </w:p>
        </w:tc>
      </w:tr>
      <w:tr>
        <w:tblPrEx>
          <w:tblCellMar>
            <w:top w:w="0" w:type="dxa"/>
            <w:left w:w="0" w:type="dxa"/>
            <w:bottom w:w="0" w:type="dxa"/>
            <w:right w:w="0" w:type="dxa"/>
          </w:tblCellMar>
        </w:tblPrEx>
        <w:trPr>
          <w:trHeight w:val="1450"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导视牌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金属蓝牌，含地基结构，整体烤漆</w:t>
            </w:r>
            <w:r>
              <w:rPr>
                <w:rStyle w:val="197"/>
                <w:rFonts w:hint="default"/>
                <w:lang w:bidi="ar"/>
              </w:rPr>
              <w:br w:type="textWrapping"/>
            </w:r>
            <w:r>
              <w:rPr>
                <w:rStyle w:val="82"/>
                <w:rFonts w:hint="default"/>
                <w:color w:val="000000"/>
                <w:lang w:bidi="ar"/>
              </w:rPr>
              <w:t>（甲方有权要求修改尺寸，工艺材质及造型样式，含半年使用报批</w:t>
            </w:r>
            <w:r>
              <w:rPr>
                <w:rStyle w:val="82"/>
                <w:color w:val="000000"/>
                <w:lang w:bidi="ar"/>
              </w:rPr>
              <w:t>费</w:t>
            </w:r>
            <w:r>
              <w:rPr>
                <w:rStyle w:val="82"/>
                <w:rFonts w:hint="default"/>
                <w:color w:val="000000"/>
                <w:lang w:bidi="ar"/>
              </w:rPr>
              <w:t>与维护费用）</w:t>
            </w:r>
            <w:r>
              <w:rPr>
                <w:rStyle w:val="82"/>
                <w:rFonts w:hint="default"/>
                <w:color w:val="000000"/>
                <w:lang w:bidi="ar"/>
              </w:rPr>
              <w:br w:type="textWrapping"/>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600*2000MM（H）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6</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展示中心周边树木包装</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树木金箔布褶皱包装</w:t>
            </w:r>
            <w:r>
              <w:rPr>
                <w:rStyle w:val="197"/>
                <w:rFonts w:hint="default"/>
                <w:lang w:bidi="ar"/>
              </w:rPr>
              <w:br w:type="textWrapping"/>
            </w:r>
            <w:r>
              <w:rPr>
                <w:rStyle w:val="82"/>
                <w:rFonts w:hint="default"/>
                <w:color w:val="000000"/>
                <w:lang w:bidi="ar"/>
              </w:rPr>
              <w:t>（需更换金箔布2次）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棵</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30</w:t>
            </w:r>
          </w:p>
        </w:tc>
      </w:tr>
      <w:tr>
        <w:tblPrEx>
          <w:tblCellMar>
            <w:top w:w="0" w:type="dxa"/>
            <w:left w:w="0" w:type="dxa"/>
            <w:bottom w:w="0" w:type="dxa"/>
            <w:right w:w="0" w:type="dxa"/>
          </w:tblCellMar>
        </w:tblPrEx>
        <w:trPr>
          <w:trHeight w:val="648" w:hRule="atLeast"/>
        </w:trPr>
        <w:tc>
          <w:tcPr>
            <w:tcW w:w="0" w:type="auto"/>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二、展示中心区域</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迎宾花柱</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1.2MM不锈钢饰面烤漆，项目LOGO丝印，内置25*25MM方通框架结构，高仿真花艺</w:t>
            </w:r>
            <w:r>
              <w:rPr>
                <w:rStyle w:val="197"/>
                <w:rFonts w:hint="default"/>
                <w:lang w:bidi="ar"/>
              </w:rPr>
              <w:br w:type="textWrapping"/>
            </w:r>
            <w:r>
              <w:rPr>
                <w:rStyle w:val="82"/>
                <w:rFonts w:hint="default"/>
                <w:color w:val="000000"/>
                <w:lang w:bidi="ar"/>
              </w:rPr>
              <w:t>（甲方有权要求修改花艺颜色及款式，更换花艺2次）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450*450*1300MM（H）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12</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雨伞架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1.2MM不锈钢饰面，电镀，项目LOGO丝印，内置25*25MM方通框架结构</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300*800*800MM（H）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2</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LOGO雨伞</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加厚款定制直柄雨伞，含四周LOGO及项目价值点电话号码丝印</w:t>
            </w:r>
            <w:r>
              <w:rPr>
                <w:rStyle w:val="197"/>
                <w:rFonts w:hint="default"/>
                <w:lang w:bidi="ar"/>
              </w:rPr>
              <w:br w:type="textWrapping"/>
            </w:r>
            <w:r>
              <w:rPr>
                <w:rStyle w:val="82"/>
                <w:rFonts w:hint="default"/>
                <w:color w:val="000000"/>
                <w:lang w:bidi="ar"/>
              </w:rPr>
              <w:t>（甲方有权要求打样颜色及LOGO）</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1200*1200MM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把</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100</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价值展板</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12MM双层钢化玻璃，内置双面1440写真画面，金属底座内置10MM钢板配重，项目LOGO丝印</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800*1800MM（H）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8</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销售公式展板</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1.2MM不锈钢饰面烤漆，项目LOGO丝印，内置30*30MM方通框架结构，立体亚克力烤漆字，立体亚克力装饰边框，亚克力文件套夹</w:t>
            </w:r>
            <w:r>
              <w:rPr>
                <w:rStyle w:val="197"/>
                <w:rFonts w:hint="default"/>
                <w:lang w:bidi="ar"/>
              </w:rPr>
              <w:br w:type="textWrapping"/>
            </w:r>
            <w:r>
              <w:rPr>
                <w:rStyle w:val="82"/>
                <w:rFonts w:hint="default"/>
                <w:color w:val="000000"/>
                <w:lang w:bidi="ar"/>
              </w:rPr>
              <w:t>（甲方有权要求修改尺寸，工艺材质及造型样式，含文件过塑）</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2400*1800MM（H）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资料展架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1.2MM不锈钢饰面烤漆，项目LOGO丝印，内置25*25MM方通框架结构，10MM钢板配重</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800*1800MM（H）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公式文件架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1.2MM不锈钢饰面烤漆，项目LOGO丝印，内置25*25MM方通框架结构，10MM钢板配重，含开合合页装置</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350*460*1000MM（H）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3</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警示三角牌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1.2MM不锈钢饰面烤漆，项目LOGO丝印，含折叠装置及拉杆</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280*500MM（H）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名片架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1.2MM不锈钢饰面烤漆，项目LOGO丝印三层</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180*500*240MM（H）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接待铭牌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12MM厚度钢板激光雕刻，立体接待铭牌，含底座结构，整体烤漆</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260*260MM</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小心台阶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1.5MM拉丝不锈钢板，半腐蚀工艺，填冲黑漆</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240*80MM（H）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20</w:t>
            </w:r>
          </w:p>
        </w:tc>
      </w:tr>
      <w:tr>
        <w:tblPrEx>
          <w:tblCellMar>
            <w:top w:w="0" w:type="dxa"/>
            <w:left w:w="0" w:type="dxa"/>
            <w:bottom w:w="0" w:type="dxa"/>
            <w:right w:w="0" w:type="dxa"/>
          </w:tblCellMar>
        </w:tblPrEx>
        <w:trPr>
          <w:trHeight w:val="688"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销售接待台</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1.2MM不锈钢饰面烤漆，项目LOGO丝印，内置25*25MM方通框架结构</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900*450*1200MM（H）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警示锥</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350*350*500MM（H）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20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礼宾栏</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黑金高端礼宾栏，精致礼宾绳</w:t>
            </w:r>
            <w:r>
              <w:rPr>
                <w:rStyle w:val="197"/>
                <w:rFonts w:hint="default"/>
                <w:lang w:bidi="ar"/>
              </w:rPr>
              <w:br w:type="textWrapping"/>
            </w:r>
            <w:r>
              <w:rPr>
                <w:rStyle w:val="82"/>
                <w:rFonts w:hint="default"/>
                <w:color w:val="000000"/>
                <w:lang w:bidi="ar"/>
              </w:rPr>
              <w:t>（甲方有权要求修改材质，颜色及造型样式）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300*300*1000MM（H）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30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铁马</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1.5MM不锈钢，壁厚0.6MM，铁马，含LOGO牌及丝印</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1500*1100MM（H）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30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垃圾桶</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涤纶夹PVC材质，热熔镶嵌LOGO定制</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370*180MM（H）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金蛋台</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12MM夹板木结构，五层次异型造型，搭配烤漆礼物盒6个，高仿真花艺3组，含金蛋100个，金蛋锤，金片10包</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2800*1600*18000MM（H）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广告机</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4K分辨率，55寸液晶电视广告机，立式触摸屏，电脑版：I5+4G+128G内存，项目LOGO丝印</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748*1915MM（H）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台</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2</w:t>
            </w:r>
          </w:p>
        </w:tc>
      </w:tr>
      <w:tr>
        <w:tblPrEx>
          <w:tblCellMar>
            <w:top w:w="0" w:type="dxa"/>
            <w:left w:w="0" w:type="dxa"/>
            <w:bottom w:w="0" w:type="dxa"/>
            <w:right w:w="0" w:type="dxa"/>
          </w:tblCellMar>
        </w:tblPrEx>
        <w:trPr>
          <w:trHeight w:val="627"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擦鞋机</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黑色无指纹款，含项目LOGO丝印，含擦鞋油5瓶</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510*260*730MM（H）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台</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液晶电视机</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4K超高清，品牌液晶电视机，含电视机支架</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72寸</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台</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地毯1</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涤纶夹PVC材质，热熔镶嵌LOGO定制</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3700*1800MM（H）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地毯2</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涤纶夹PVC材质，热熔镶嵌LOGO定制</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1500*1000MM（H）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展架画架相框</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纯木落地式可调节画架，木质相框</w:t>
            </w:r>
            <w:r>
              <w:rPr>
                <w:rStyle w:val="197"/>
                <w:rFonts w:hint="default"/>
                <w:lang w:bidi="ar"/>
              </w:rPr>
              <w:br w:type="textWrapping"/>
            </w:r>
            <w:r>
              <w:rPr>
                <w:rStyle w:val="82"/>
                <w:rFonts w:hint="default"/>
                <w:color w:val="000000"/>
                <w:lang w:bidi="ar"/>
              </w:rPr>
              <w:t>（甲方有权要求修改尺寸，工艺材质及造型样式，需含更换画面2次）</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900*1600MM（H）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20</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易拉宝</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高精度写真画面</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800*2000MM（H）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个</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50</w:t>
            </w:r>
          </w:p>
        </w:tc>
      </w:tr>
      <w:tr>
        <w:tblPrEx>
          <w:tblCellMar>
            <w:top w:w="0" w:type="dxa"/>
            <w:left w:w="0" w:type="dxa"/>
            <w:bottom w:w="0" w:type="dxa"/>
            <w:right w:w="0" w:type="dxa"/>
          </w:tblCellMar>
        </w:tblPrEx>
        <w:trPr>
          <w:trHeight w:val="32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销售龙虎榜</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10MM亚克力，背面UV彩白彩， 含可擦水性笔10支</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2400*1200MM（H）</w:t>
            </w:r>
          </w:p>
        </w:tc>
        <w:tc>
          <w:tcPr>
            <w:tcW w:w="4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项</w:t>
            </w:r>
          </w:p>
        </w:tc>
        <w:tc>
          <w:tcPr>
            <w:tcW w:w="4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6"/>
                <w:szCs w:val="16"/>
              </w:rPr>
            </w:pPr>
            <w:r>
              <w:rPr>
                <w:rFonts w:hint="eastAsia" w:ascii="微软雅黑" w:hAnsi="微软雅黑" w:eastAsia="微软雅黑" w:cs="微软雅黑"/>
                <w:color w:val="000000"/>
                <w:kern w:val="0"/>
                <w:sz w:val="16"/>
                <w:szCs w:val="16"/>
                <w:lang w:bidi="ar"/>
              </w:rPr>
              <w:t>4</w:t>
            </w:r>
          </w:p>
        </w:tc>
      </w:tr>
      <w:tr>
        <w:tblPrEx>
          <w:tblCellMar>
            <w:top w:w="0" w:type="dxa"/>
            <w:left w:w="0" w:type="dxa"/>
            <w:bottom w:w="0" w:type="dxa"/>
            <w:right w:w="0" w:type="dxa"/>
          </w:tblCellMar>
        </w:tblPrEx>
        <w:trPr>
          <w:trHeight w:val="648" w:hRule="atLeast"/>
        </w:trPr>
        <w:tc>
          <w:tcPr>
            <w:tcW w:w="0" w:type="auto"/>
            <w:gridSpan w:val="6"/>
            <w:tcBorders>
              <w:top w:val="single" w:color="000000" w:sz="4" w:space="0"/>
              <w:left w:val="single" w:color="000000" w:sz="8" w:space="0"/>
              <w:bottom w:val="single" w:color="000000" w:sz="4" w:space="0"/>
              <w:right w:val="single" w:color="000000" w:sz="4" w:space="0"/>
            </w:tcBorders>
            <w:shd w:val="clear" w:color="auto" w:fill="D9D9D9"/>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b/>
                <w:color w:val="000000"/>
                <w:sz w:val="18"/>
                <w:szCs w:val="18"/>
              </w:rPr>
            </w:pPr>
            <w:r>
              <w:rPr>
                <w:rFonts w:hint="eastAsia" w:ascii="微软雅黑" w:hAnsi="微软雅黑" w:eastAsia="微软雅黑" w:cs="微软雅黑"/>
                <w:b/>
                <w:color w:val="000000"/>
                <w:kern w:val="0"/>
                <w:sz w:val="18"/>
                <w:szCs w:val="18"/>
                <w:lang w:bidi="ar"/>
              </w:rPr>
              <w:t>三、样板房区域</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LOGO鞋套</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布艺鞋套，刺绣LOGO</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双</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200</w:t>
            </w:r>
          </w:p>
        </w:tc>
      </w:tr>
      <w:tr>
        <w:tblPrEx>
          <w:tblCellMar>
            <w:top w:w="0" w:type="dxa"/>
            <w:left w:w="0" w:type="dxa"/>
            <w:bottom w:w="0" w:type="dxa"/>
            <w:right w:w="0" w:type="dxa"/>
          </w:tblCellMar>
        </w:tblPrEx>
        <w:trPr>
          <w:trHeight w:val="90"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鞋套收纳筐与皮质座椅</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藤编鞋套收纳筐，含已使用和未使用标识牌，皮质座椅2张</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样板房导视牌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1.2MM不锈钢饰面烤漆，项目LOGO丝印，内置30*30MM方通框架结构，立体亚克力烤漆字</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500*1800MM（H）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树木吊牌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304#1.5MM厚度不锈钢金属结构，含丝印项目LOGO</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260*260MM</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20</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5</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园林花草温馨提示牌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1.2MM不锈钢饰面烤漆，项目LOGO丝印，内置25*25MM方通框架结构，10MM钢板配重</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600*330*700MM（H）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6</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样板房户型牌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1.5MM拉丝不锈钢板，半腐蚀工艺，填冲黑漆，四周15*15MM立体边框</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300*560MM（H）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r>
      <w:tr>
        <w:tblPrEx>
          <w:tblCellMar>
            <w:top w:w="0" w:type="dxa"/>
            <w:left w:w="0" w:type="dxa"/>
            <w:bottom w:w="0" w:type="dxa"/>
            <w:right w:w="0" w:type="dxa"/>
          </w:tblCellMar>
        </w:tblPrEx>
        <w:trPr>
          <w:trHeight w:val="173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7</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样板房交付标准牌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1.5MM拉丝不锈钢板，半腐蚀工艺，填冲黑漆，四周15*15MM立体边框</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300*560MM（H）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w:t>
            </w:r>
          </w:p>
        </w:tc>
      </w:tr>
      <w:tr>
        <w:tblPrEx>
          <w:tblCellMar>
            <w:top w:w="0" w:type="dxa"/>
            <w:left w:w="0" w:type="dxa"/>
            <w:bottom w:w="0" w:type="dxa"/>
            <w:right w:w="0" w:type="dxa"/>
          </w:tblCellMar>
        </w:tblPrEx>
        <w:trPr>
          <w:trHeight w:val="707"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8</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玻璃防撞条</w:t>
            </w:r>
          </w:p>
        </w:tc>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磨砂UV防撞条，所有展示中心及样板房玻璃门窗</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项</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r>
      <w:tr>
        <w:tblPrEx>
          <w:tblCellMar>
            <w:top w:w="0" w:type="dxa"/>
            <w:left w:w="0" w:type="dxa"/>
            <w:bottom w:w="0" w:type="dxa"/>
            <w:right w:w="0" w:type="dxa"/>
          </w:tblCellMar>
        </w:tblPrEx>
        <w:trPr>
          <w:trHeight w:val="59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9</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交楼标准贴</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定制设计交楼标准与非交楼标准贴（需可移后续好清理材质）</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260*150MM（H）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张</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100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10</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样板房请勿提示牌</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1.5MM拉丝不锈钢板，半腐蚀工艺，填冲黑漆，立式三角形</w:t>
            </w:r>
            <w:r>
              <w:rPr>
                <w:rStyle w:val="197"/>
                <w:rFonts w:hint="default"/>
                <w:lang w:bidi="ar"/>
              </w:rPr>
              <w:br w:type="textWrapping"/>
            </w:r>
            <w:r>
              <w:rPr>
                <w:rStyle w:val="82"/>
                <w:rFonts w:hint="default"/>
                <w:color w:val="000000"/>
                <w:lang w:bidi="ar"/>
              </w:rPr>
              <w:t>（甲方有权要求修改尺寸，工艺材质及造型样式）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260*150MM（H）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40</w:t>
            </w:r>
          </w:p>
        </w:tc>
      </w:tr>
      <w:tr>
        <w:tblPrEx>
          <w:tblCellMar>
            <w:top w:w="0" w:type="dxa"/>
            <w:left w:w="0" w:type="dxa"/>
            <w:bottom w:w="0" w:type="dxa"/>
            <w:right w:w="0" w:type="dxa"/>
          </w:tblCellMar>
        </w:tblPrEx>
        <w:trPr>
          <w:trHeight w:val="1165"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11</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看楼通道地毯</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Style w:val="197"/>
                <w:rFonts w:hint="default"/>
                <w:lang w:bidi="ar"/>
              </w:rPr>
              <w:t>加厚圈绒地毯</w:t>
            </w:r>
            <w:r>
              <w:rPr>
                <w:rStyle w:val="197"/>
                <w:rFonts w:hint="default"/>
                <w:lang w:bidi="ar"/>
              </w:rPr>
              <w:br w:type="textWrapping"/>
            </w:r>
            <w:r>
              <w:rPr>
                <w:rStyle w:val="82"/>
                <w:rFonts w:hint="default"/>
                <w:color w:val="000000"/>
                <w:lang w:bidi="ar"/>
              </w:rPr>
              <w:t>（甲方有权要求修改尺寸，工艺材质及颜色）</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 —</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平方</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300</w:t>
            </w:r>
          </w:p>
        </w:tc>
      </w:tr>
      <w:tr>
        <w:tblPrEx>
          <w:tblCellMar>
            <w:top w:w="0" w:type="dxa"/>
            <w:left w:w="0" w:type="dxa"/>
            <w:bottom w:w="0" w:type="dxa"/>
            <w:right w:w="0" w:type="dxa"/>
          </w:tblCellMar>
        </w:tblPrEx>
        <w:trPr>
          <w:trHeight w:val="874" w:hRule="atLeast"/>
        </w:trPr>
        <w:tc>
          <w:tcPr>
            <w:tcW w:w="530" w:type="dxa"/>
            <w:tcBorders>
              <w:top w:val="single" w:color="000000" w:sz="4" w:space="0"/>
              <w:left w:val="single" w:color="000000" w:sz="8"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12</w:t>
            </w:r>
          </w:p>
        </w:tc>
        <w:tc>
          <w:tcPr>
            <w:tcW w:w="136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手机储物柜</w:t>
            </w:r>
          </w:p>
        </w:tc>
        <w:tc>
          <w:tcPr>
            <w:tcW w:w="0" w:type="auto"/>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440" w:lineRule="exact"/>
              <w:jc w:val="center"/>
              <w:textAlignment w:val="center"/>
              <w:rPr>
                <w:rStyle w:val="197"/>
                <w:rFonts w:hint="default"/>
                <w:lang w:bidi="ar"/>
              </w:rPr>
            </w:pPr>
            <w:r>
              <w:rPr>
                <w:rStyle w:val="197"/>
                <w:rFonts w:hint="default"/>
                <w:lang w:bidi="ar"/>
              </w:rPr>
              <w:t>金属材质，烤漆，手机充电款，60门</w:t>
            </w:r>
          </w:p>
          <w:p>
            <w:pPr>
              <w:widowControl/>
              <w:spacing w:line="440" w:lineRule="exact"/>
              <w:jc w:val="center"/>
              <w:textAlignment w:val="center"/>
              <w:rPr>
                <w:rFonts w:hint="eastAsia" w:ascii="微软雅黑" w:hAnsi="微软雅黑" w:eastAsia="微软雅黑" w:cs="微软雅黑"/>
                <w:color w:val="000000"/>
                <w:sz w:val="18"/>
                <w:szCs w:val="18"/>
              </w:rPr>
            </w:pPr>
            <w:r>
              <w:rPr>
                <w:rStyle w:val="82"/>
                <w:rFonts w:hint="default"/>
                <w:color w:val="000000"/>
                <w:lang w:bidi="ar"/>
              </w:rPr>
              <w:t>（甲方有权要求修改尺寸，颜色，工艺材质及造型样式）</w:t>
            </w:r>
          </w:p>
        </w:tc>
        <w:tc>
          <w:tcPr>
            <w:tcW w:w="21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300*950*1820MM（H）</w:t>
            </w:r>
          </w:p>
        </w:tc>
        <w:tc>
          <w:tcPr>
            <w:tcW w:w="4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个</w:t>
            </w:r>
          </w:p>
        </w:tc>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40" w:lineRule="exact"/>
              <w:jc w:val="center"/>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1</w:t>
            </w:r>
          </w:p>
        </w:tc>
      </w:tr>
    </w:tbl>
    <w:p>
      <w:pPr>
        <w:ind w:firstLine="0" w:firstLineChars="0"/>
        <w:rPr>
          <w:rFonts w:hint="eastAsia" w:ascii="仿宋_GB2312" w:hAnsi="宋体" w:eastAsia="仿宋_GB2312"/>
          <w:color w:val="000000"/>
          <w:sz w:val="32"/>
          <w:szCs w:val="32"/>
        </w:rPr>
      </w:pPr>
    </w:p>
    <w:p>
      <w:pPr>
        <w:tabs>
          <w:tab w:val="left" w:pos="840"/>
        </w:tabs>
        <w:adjustRightInd w:val="0"/>
        <w:snapToGrid w:val="0"/>
        <w:spacing w:line="312" w:lineRule="auto"/>
        <w:ind w:firstLine="466" w:firstLineChars="200"/>
        <w:rPr>
          <w:rFonts w:hint="eastAsia" w:ascii="宋体" w:hAnsi="宋体" w:eastAsia="宋体" w:cs="Times New Roman"/>
          <w:b/>
          <w:bCs/>
          <w:spacing w:val="-4"/>
          <w:sz w:val="24"/>
          <w:szCs w:val="24"/>
        </w:rPr>
      </w:pPr>
      <w:r>
        <w:rPr>
          <w:rFonts w:hint="eastAsia" w:ascii="宋体" w:hAnsi="宋体" w:eastAsia="宋体" w:cs="Times New Roman"/>
          <w:b/>
          <w:bCs/>
          <w:spacing w:val="-4"/>
          <w:sz w:val="24"/>
          <w:szCs w:val="24"/>
        </w:rPr>
        <w:t>三、服务期限</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自合同签订日期起有效期一年。</w:t>
      </w:r>
    </w:p>
    <w:p>
      <w:pPr>
        <w:spacing w:line="312" w:lineRule="auto"/>
        <w:ind w:firstLine="482" w:firstLineChars="200"/>
        <w:rPr>
          <w:rFonts w:ascii="宋体" w:hAnsi="宋体"/>
          <w:b/>
          <w:sz w:val="24"/>
          <w:szCs w:val="24"/>
        </w:rPr>
      </w:pPr>
      <w:r>
        <w:rPr>
          <w:rFonts w:hint="eastAsia" w:ascii="宋体" w:hAnsi="宋体"/>
          <w:b/>
          <w:sz w:val="24"/>
          <w:szCs w:val="24"/>
        </w:rPr>
        <w:t>四、</w:t>
      </w:r>
      <w:bookmarkEnd w:id="138"/>
      <w:r>
        <w:rPr>
          <w:rFonts w:hint="eastAsia" w:ascii="宋体" w:hAnsi="宋体"/>
          <w:b/>
          <w:sz w:val="24"/>
          <w:szCs w:val="24"/>
        </w:rPr>
        <w:t>双方的权利义务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（一）甲方的权利义务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1、甲方应按本合同约定的金额和时间向乙方支付合同价款。</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2、甲方需向乙方提交服务所需要的基础资料及文件，并在执行前确定所有执行方</w:t>
      </w:r>
      <w:r>
        <w:rPr>
          <w:rFonts w:ascii="宋体" w:hAnsi="宋体"/>
          <w:spacing w:val="-4"/>
          <w:sz w:val="24"/>
          <w:szCs w:val="24"/>
        </w:rPr>
        <w:t>案</w:t>
      </w:r>
      <w:r>
        <w:rPr>
          <w:rFonts w:hint="eastAsia" w:ascii="宋体" w:hAnsi="宋体"/>
          <w:spacing w:val="-4"/>
          <w:sz w:val="24"/>
          <w:szCs w:val="24"/>
        </w:rPr>
        <w:t>，确定后甲方不得随意更改活动内容，如需更改，应提前1天通知乙方。</w:t>
      </w:r>
    </w:p>
    <w:p>
      <w:pPr>
        <w:tabs>
          <w:tab w:val="left" w:pos="840"/>
        </w:tabs>
        <w:spacing w:line="312" w:lineRule="auto"/>
        <w:ind w:firstLine="464" w:firstLineChars="200"/>
        <w:rPr>
          <w:rFonts w:ascii="宋体" w:hAnsi="宋体"/>
          <w:spacing w:val="-4"/>
          <w:sz w:val="24"/>
          <w:szCs w:val="24"/>
        </w:rPr>
      </w:pPr>
      <w:r>
        <w:rPr>
          <w:rFonts w:hint="eastAsia" w:ascii="宋体" w:hAnsi="宋体"/>
          <w:spacing w:val="-4"/>
          <w:sz w:val="24"/>
          <w:szCs w:val="24"/>
        </w:rPr>
        <w:t>3、甲方指定专人与乙方指定人员进行沟通、联系及现场协助。</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（二）乙方的权利义务</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1、乙方应按照本合同约定及甲方的要求完成本合同项目的所有工作。</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2、乙方必须按本合同约定的活动内容及要求严格执行，保证按约定完成活动场地</w:t>
      </w:r>
      <w:r>
        <w:rPr>
          <w:rFonts w:ascii="宋体" w:hAnsi="宋体"/>
          <w:spacing w:val="-4"/>
          <w:sz w:val="24"/>
          <w:szCs w:val="24"/>
        </w:rPr>
        <w:t>的档期确定</w:t>
      </w:r>
      <w:r>
        <w:rPr>
          <w:rFonts w:hint="eastAsia" w:ascii="宋体" w:hAnsi="宋体"/>
          <w:spacing w:val="-4"/>
          <w:sz w:val="24"/>
          <w:szCs w:val="24"/>
        </w:rPr>
        <w:t>，同时保证按约定提供活动所需的物料、人员</w:t>
      </w:r>
      <w:r>
        <w:rPr>
          <w:rFonts w:ascii="宋体" w:hAnsi="宋体"/>
          <w:spacing w:val="-4"/>
          <w:sz w:val="24"/>
          <w:szCs w:val="24"/>
        </w:rPr>
        <w:t>。</w:t>
      </w:r>
    </w:p>
    <w:p>
      <w:pPr>
        <w:tabs>
          <w:tab w:val="left" w:pos="840"/>
        </w:tabs>
        <w:adjustRightInd w:val="0"/>
        <w:snapToGrid w:val="0"/>
        <w:spacing w:line="312" w:lineRule="auto"/>
        <w:ind w:firstLine="464" w:firstLineChars="200"/>
        <w:rPr>
          <w:rFonts w:ascii="宋体" w:hAnsi="宋体"/>
          <w:spacing w:val="-4"/>
          <w:sz w:val="24"/>
          <w:szCs w:val="24"/>
        </w:rPr>
      </w:pPr>
      <w:r>
        <w:rPr>
          <w:rFonts w:hint="eastAsia" w:ascii="宋体" w:hAnsi="宋体"/>
          <w:spacing w:val="-4"/>
          <w:sz w:val="24"/>
          <w:szCs w:val="24"/>
        </w:rPr>
        <w:t>3、乙方不得传播、捏造或夸大有关甲方及甲方关联公司的负面或</w:t>
      </w:r>
      <w:r>
        <w:rPr>
          <w:rFonts w:ascii="宋体" w:hAnsi="宋体"/>
          <w:spacing w:val="-4"/>
          <w:sz w:val="24"/>
          <w:szCs w:val="24"/>
        </w:rPr>
        <w:t>影响甲方及甲方关联公司声誉</w:t>
      </w:r>
      <w:r>
        <w:rPr>
          <w:rFonts w:hint="eastAsia" w:ascii="宋体" w:hAnsi="宋体"/>
          <w:spacing w:val="-4"/>
          <w:sz w:val="24"/>
          <w:szCs w:val="24"/>
        </w:rPr>
        <w:t>、</w:t>
      </w:r>
      <w:r>
        <w:rPr>
          <w:rFonts w:ascii="宋体" w:hAnsi="宋体"/>
          <w:spacing w:val="-4"/>
          <w:sz w:val="24"/>
          <w:szCs w:val="24"/>
        </w:rPr>
        <w:t>品牌等</w:t>
      </w:r>
      <w:r>
        <w:rPr>
          <w:rFonts w:hint="eastAsia" w:ascii="宋体" w:hAnsi="宋体"/>
          <w:spacing w:val="-4"/>
          <w:sz w:val="24"/>
          <w:szCs w:val="24"/>
        </w:rPr>
        <w:t>信息；乙方违反本约定，甲方有</w:t>
      </w:r>
      <w:r>
        <w:rPr>
          <w:rFonts w:ascii="宋体" w:hAnsi="宋体"/>
          <w:spacing w:val="-4"/>
          <w:sz w:val="24"/>
          <w:szCs w:val="24"/>
        </w:rPr>
        <w:t>权</w:t>
      </w:r>
      <w:r>
        <w:rPr>
          <w:rFonts w:hint="eastAsia" w:ascii="宋体" w:hAnsi="宋体"/>
          <w:spacing w:val="-4"/>
          <w:sz w:val="24"/>
          <w:szCs w:val="24"/>
        </w:rPr>
        <w:t>解除本合同，并不再支付剩余款项。因该等负面信息造成甲方及关联公司损失的，乙方还应赔偿损失，同时乙方有义务负责消除因负面信息等给甲方及关联公司造成的不利影响。</w:t>
      </w:r>
    </w:p>
    <w:p>
      <w:pPr>
        <w:spacing w:line="312"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五、合同价款及付款方式</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（一）计价方法</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合同为综合单价合同。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（二）合同价款组成及支付条款</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1.合同总价暂定为人民币  元整（￥  元），其中不含税总价为  元，增值税税率为  %，税额  元。合同的增值税率根据国家税收法规政策变动而调整，不含税价不随增值税率的变化进行调整。其中：展示中心开放活动费用暂定为人民币  元整（￥    元）</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含税</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rPr>
        <w:t>，系列暖场活动费用暂定为人民币  元整（￥  元）</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含税</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rPr>
        <w:t>，宣传推广（自媒体大V）费用暂定为人民币    元整（￥   元）</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含税</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rPr>
        <w:t>。现场包装费用暂定为人民币    元整（￥  元）</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lang w:val="en-US" w:eastAsia="zh-CN"/>
        </w:rPr>
        <w:t>含税</w:t>
      </w:r>
      <w:r>
        <w:rPr>
          <w:rFonts w:hint="eastAsia" w:ascii="宋体" w:hAnsi="宋体" w:eastAsia="宋体" w:cs="Times New Roman"/>
          <w:spacing w:val="-4"/>
          <w:sz w:val="24"/>
          <w:szCs w:val="24"/>
          <w:lang w:eastAsia="zh-CN"/>
        </w:rPr>
        <w:t>）</w:t>
      </w:r>
      <w:r>
        <w:rPr>
          <w:rFonts w:hint="eastAsia" w:ascii="宋体" w:hAnsi="宋体" w:eastAsia="宋体" w:cs="Times New Roman"/>
          <w:spacing w:val="-4"/>
          <w:sz w:val="24"/>
          <w:szCs w:val="24"/>
        </w:rPr>
        <w:t>。</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2．支付方式：</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（1）支付比例及节点具体如下：（相关款项在完成相关工作内容审批通过后即可支付，但最后一次付款前需进行合同结算，合同结算完成后方可进行支付）</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1.展示中心开放活动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080"/>
        <w:gridCol w:w="15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支付条件</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支付比例</w:t>
            </w:r>
          </w:p>
        </w:tc>
        <w:tc>
          <w:tcPr>
            <w:tcW w:w="1041"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第一阶段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乙方向甲方提供《活动策划执行方案》与《工作排期表》并经甲方书面确认后，由乙方提出付款申请，经甲方批准后15个工作日内支付。</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支付深铁瑞城展示中心开放活动部分费用合同暂定价款的10%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第二阶段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乙方按甲方工作要求完成约定的全部工作，并向甲方提交工作成果，经甲方书面确认后，由乙方提出付款申请，经甲方批准后15个工作日内支付</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支付至深铁瑞城展示中心开放活动部分实际验收总价的100%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bl>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 xml:space="preserve">   2.宣传推广（自媒体大V）</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080"/>
        <w:gridCol w:w="15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支付条件</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支付比例</w:t>
            </w:r>
          </w:p>
        </w:tc>
        <w:tc>
          <w:tcPr>
            <w:tcW w:w="1041"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第一阶段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按甲方要求，完成所有广告发布后，乙方向甲方提交书面付款申请及相关资料（验收材料、《广告发布确认书》），经甲方验收合格进行书面确认，，据实结算，结算价不超过宣传推广部分的推荐总价。（支付前需提供等额有效的增值税专用发票，经甲方审核通过后15个工作日内进行一次性据实支付）</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支付深铁瑞城宣传推广部分结算总价的100%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bl>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3.系列暖场活动</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080"/>
        <w:gridCol w:w="15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支付条件</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支付比例</w:t>
            </w:r>
          </w:p>
        </w:tc>
        <w:tc>
          <w:tcPr>
            <w:tcW w:w="1041"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第一阶段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乙方向甲方提供每场暖场活动《活动策划执行方案》与《工作排期表》并经甲方书面确认后，由乙方提出付款申请，经甲方批准后15个工作日内支付合同暂定暖场活动价款的10%。</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支付深铁瑞城系列暖场活动部分合同暂定价款的10%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第二阶段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乙方按甲方工作要求完成约定的暖场活动全部工作，并向甲方提交工作成果，经甲方书面确认后，由乙方提出付款申请，经甲方批准后15个工作日内支付。</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支付至深铁瑞城系列暖场活动部分实际验收总价的100%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bl>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4.现场包装设计与制作</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080"/>
        <w:gridCol w:w="15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支付条件</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支付比例</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第一阶段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乙方向甲方提供《现场包装执行方案》与《工作排期表》并经甲方书面确认后，由乙方提出付款申请，经甲方批准后15个工作日内支付合同暂定现场包装价款的10%。</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支付深铁瑞城现场包装部分合同暂定价款的10%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pPr>
              <w:tabs>
                <w:tab w:val="left" w:pos="840"/>
              </w:tabs>
              <w:adjustRightInd w:val="0"/>
              <w:snapToGrid w:val="0"/>
              <w:spacing w:line="312" w:lineRule="auto"/>
              <w:rPr>
                <w:rFonts w:hint="eastAsia" w:ascii="宋体" w:hAnsi="宋体" w:eastAsia="宋体" w:cs="Times New Roman"/>
                <w:spacing w:val="-4"/>
                <w:sz w:val="21"/>
                <w:szCs w:val="21"/>
              </w:rPr>
            </w:pPr>
            <w:r>
              <w:rPr>
                <w:rFonts w:hint="eastAsia" w:ascii="宋体" w:hAnsi="宋体" w:eastAsia="宋体" w:cs="Times New Roman"/>
                <w:spacing w:val="-4"/>
                <w:sz w:val="21"/>
                <w:szCs w:val="21"/>
              </w:rPr>
              <w:t>第二阶段</w:t>
            </w:r>
          </w:p>
        </w:tc>
        <w:tc>
          <w:tcPr>
            <w:tcW w:w="5080"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乙方按甲方工作要求完成约定的全部现场包装工作，并向甲方提交工作成果，经甲方书面确认后，由乙方提出付款申请，经甲方批准后15个工作日内支付。</w:t>
            </w:r>
          </w:p>
        </w:tc>
        <w:tc>
          <w:tcPr>
            <w:tcW w:w="1583"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r>
              <w:rPr>
                <w:rFonts w:hint="eastAsia" w:ascii="宋体" w:hAnsi="宋体" w:eastAsia="宋体" w:cs="Times New Roman"/>
                <w:spacing w:val="-4"/>
                <w:sz w:val="21"/>
                <w:szCs w:val="21"/>
              </w:rPr>
              <w:t>支付至深铁瑞城现场包装部分实际验收总价的100%</w:t>
            </w:r>
          </w:p>
        </w:tc>
        <w:tc>
          <w:tcPr>
            <w:tcW w:w="1041" w:type="dxa"/>
            <w:noWrap w:val="0"/>
            <w:vAlign w:val="center"/>
          </w:tcPr>
          <w:p>
            <w:pPr>
              <w:tabs>
                <w:tab w:val="left" w:pos="840"/>
              </w:tabs>
              <w:adjustRightInd w:val="0"/>
              <w:snapToGrid w:val="0"/>
              <w:spacing w:line="312" w:lineRule="auto"/>
              <w:ind w:firstLine="404" w:firstLineChars="200"/>
              <w:rPr>
                <w:rFonts w:hint="eastAsia" w:ascii="宋体" w:hAnsi="宋体" w:eastAsia="宋体" w:cs="Times New Roman"/>
                <w:spacing w:val="-4"/>
                <w:sz w:val="21"/>
                <w:szCs w:val="21"/>
              </w:rPr>
            </w:pPr>
          </w:p>
        </w:tc>
      </w:tr>
    </w:tbl>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乙方应在甲方付款前，向甲方提供正式的增值税专用发票，否则甲方有权拒绝付款，且并不因此承担任何违约责任，乙方仍应按合同约定履行义务。</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（三）违约条款</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1、根据项目需要，甲方有权对相关服务的全部或部分项目执行或取消或甲方要求暂停制作或终止本合同，未开始执行的甲方不承担费用，已开始执行的，乙方可要求甲方支付对经甲方确认的乙方已完成的工作量部分费用，乙方不得要求其他补偿或赔偿。</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2、在合同期内，若乙方的工作质量达不到甲方的要求的，累计或连续发生三次以上的，甲方可解除本合同。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3、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违约当月服务费的千分之一向乙方收取违约金，并承担因乙方迟延交付工作给甲方造成的全部损失。逾期达10日的，甲方有权解除本合同；除此之外，如乙方所服务内容非因甲方原因发生三次以上迟延交付情况，乙方应当向甲方承担合同总金额千分之一的违约金，发生五次以上，甲方有权解除本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4、合同期内，如因乙方原因造成甲方损失或损害甲方商誉的，甲方有权解除本合同。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5、乙方违反本合同其它约定的，经甲方书面通知限期改正或履行，而期满仍未改正或履行的，甲方有权解除本合同。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6、除本合同另有约定之外，因乙方原因解除本合同的，乙方应向甲方支付本合同总价款10％的违约金，对因此给甲方造成的损失，乙方应承担赔偿责任。</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7、甲方有权从应支付给乙方的款项中直接扣除乙方应承担的违约金等款项，如不足赔偿甲方的损失的，甲方有权继续向乙方追偿。</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8、导视牌实际使用周期为6个月，合同期内共使用月份不足6个月，则按实际天数计算费用。同时乙方负责相关的政府报批报建工作，若因报批报建原因，导致制作安装完成的制作拆除或重做，若产生罚款等费用，相关费用由乙方承担。</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p>
    <w:p>
      <w:pPr>
        <w:spacing w:line="312"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六</w:t>
      </w:r>
      <w:r>
        <w:rPr>
          <w:rFonts w:hint="eastAsia" w:ascii="宋体" w:hAnsi="宋体" w:eastAsia="宋体" w:cs="Times New Roman"/>
          <w:b/>
          <w:sz w:val="24"/>
          <w:szCs w:val="24"/>
        </w:rPr>
        <w:t>、保密</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12" w:lineRule="auto"/>
        <w:ind w:firstLine="482" w:firstLineChars="200"/>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七、合同的变更与解除</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1、合同生效后，即具有法律约束力，除本合同有相关约定外，任何一方不得随意变更或解除合同。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2、由于不可抗力的原因，使合同无法完全履行的时候，经双方协商，可以变更或解除合同。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3、本合同的任何修改，由双方协商同意并另行签订补充协议。</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4、如甲方安排乙方从事本项目工作范围以外的项目或其他额外项目，双方应按照本合同的规定进行协商，经协商一致，另行签订补充协议。</w:t>
      </w:r>
    </w:p>
    <w:p>
      <w:pPr>
        <w:spacing w:line="312" w:lineRule="auto"/>
        <w:ind w:firstLine="482" w:firstLineChars="200"/>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八、争议解决</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 xml:space="preserve">在合同履行过程中发生争议，甲乙双方应当协商解决。如协商不成，任何一方均有权将争议提交甲方所在地法院诉讼解决。 </w:t>
      </w:r>
    </w:p>
    <w:p>
      <w:pPr>
        <w:spacing w:line="312" w:lineRule="auto"/>
        <w:ind w:firstLine="482" w:firstLineChars="200"/>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九、其他</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1、本合同经双方法定代表人或授权代表签字，并加盖公章或合同专用章后即为生效。</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2、本合同的任何修改，由双方协商同意并另行签订补充合同。</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3、本合同一式拾份，正本一式贰份，甲乙双方各执壹份，副本一式捌份，甲方柒份，乙方壹份。正本与副本不一致，以正本为准。</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附件：价格清单</w:t>
      </w:r>
    </w:p>
    <w:p>
      <w:pPr>
        <w:tabs>
          <w:tab w:val="left" w:pos="840"/>
        </w:tabs>
        <w:adjustRightInd w:val="0"/>
        <w:snapToGrid w:val="0"/>
        <w:spacing w:line="312" w:lineRule="auto"/>
        <w:ind w:firstLine="464" w:firstLineChars="200"/>
        <w:rPr>
          <w:rFonts w:hint="eastAsia" w:ascii="宋体" w:hAnsi="宋体" w:eastAsia="宋体" w:cs="Times New Roman"/>
          <w:spacing w:val="-4"/>
          <w:sz w:val="24"/>
          <w:szCs w:val="24"/>
        </w:rPr>
      </w:pPr>
      <w:r>
        <w:rPr>
          <w:rFonts w:hint="eastAsia" w:ascii="宋体" w:hAnsi="宋体" w:eastAsia="宋体" w:cs="Times New Roman"/>
          <w:spacing w:val="-4"/>
          <w:sz w:val="24"/>
          <w:szCs w:val="24"/>
        </w:rPr>
        <w:t xml:space="preserve">    </w:t>
      </w:r>
    </w:p>
    <w:p>
      <w:pPr>
        <w:spacing w:line="312" w:lineRule="auto"/>
        <w:rPr>
          <w:rFonts w:ascii="宋体" w:hAnsi="宋体"/>
          <w:spacing w:val="-4"/>
          <w:sz w:val="24"/>
          <w:szCs w:val="24"/>
        </w:rPr>
      </w:pPr>
    </w:p>
    <w:tbl>
      <w:tblPr>
        <w:tblStyle w:val="47"/>
        <w:tblW w:w="10173" w:type="dxa"/>
        <w:tblInd w:w="-318" w:type="dxa"/>
        <w:tblLayout w:type="fixed"/>
        <w:tblCellMar>
          <w:top w:w="0" w:type="dxa"/>
          <w:left w:w="108" w:type="dxa"/>
          <w:bottom w:w="0" w:type="dxa"/>
          <w:right w:w="108" w:type="dxa"/>
        </w:tblCellMar>
      </w:tblPr>
      <w:tblGrid>
        <w:gridCol w:w="2238"/>
        <w:gridCol w:w="541"/>
        <w:gridCol w:w="2072"/>
        <w:gridCol w:w="166"/>
        <w:gridCol w:w="2072"/>
        <w:gridCol w:w="846"/>
        <w:gridCol w:w="2238"/>
      </w:tblGrid>
      <w:tr>
        <w:tblPrEx>
          <w:tblCellMar>
            <w:top w:w="0" w:type="dxa"/>
            <w:left w:w="108" w:type="dxa"/>
            <w:bottom w:w="0" w:type="dxa"/>
            <w:right w:w="108" w:type="dxa"/>
          </w:tblCellMar>
        </w:tblPrEx>
        <w:trPr>
          <w:trHeight w:val="812" w:hRule="exact"/>
        </w:trPr>
        <w:tc>
          <w:tcPr>
            <w:tcW w:w="2238" w:type="dxa"/>
            <w:noWrap w:val="0"/>
            <w:vAlign w:val="top"/>
          </w:tcPr>
          <w:p>
            <w:pPr>
              <w:rPr>
                <w:rFonts w:ascii="宋体" w:hAnsi="宋体"/>
                <w:b/>
                <w:sz w:val="30"/>
                <w:szCs w:val="30"/>
              </w:rPr>
            </w:pPr>
            <w:r>
              <w:rPr>
                <w:rFonts w:hint="eastAsia" w:ascii="宋体" w:hAnsi="宋体"/>
                <w:b/>
                <w:sz w:val="30"/>
                <w:szCs w:val="30"/>
              </w:rPr>
              <w:t>甲方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779" w:type="dxa"/>
            <w:gridSpan w:val="3"/>
            <w:noWrap w:val="0"/>
            <w:vAlign w:val="top"/>
          </w:tcPr>
          <w:p>
            <w:pPr>
              <w:spacing w:before="25" w:line="240" w:lineRule="atLeast"/>
              <w:rPr>
                <w:rFonts w:ascii="宋体" w:hAnsi="宋体"/>
                <w:b/>
                <w:sz w:val="28"/>
                <w:szCs w:val="28"/>
              </w:rPr>
            </w:pPr>
            <w:r>
              <w:rPr>
                <w:rFonts w:ascii="宋体" w:hAnsi="宋体"/>
                <w:b/>
                <w:sz w:val="28"/>
                <w:szCs w:val="28"/>
              </w:rPr>
              <w:t>深圳</w:t>
            </w:r>
            <w:r>
              <w:rPr>
                <w:rFonts w:hint="eastAsia" w:ascii="宋体" w:hAnsi="宋体"/>
                <w:b/>
                <w:sz w:val="28"/>
                <w:szCs w:val="28"/>
              </w:rPr>
              <w:t>市地铁集团有限公司</w:t>
            </w:r>
          </w:p>
        </w:tc>
        <w:tc>
          <w:tcPr>
            <w:tcW w:w="2072" w:type="dxa"/>
            <w:noWrap w:val="0"/>
            <w:vAlign w:val="top"/>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084" w:type="dxa"/>
            <w:gridSpan w:val="2"/>
            <w:noWrap w:val="0"/>
            <w:vAlign w:val="top"/>
          </w:tcPr>
          <w:p>
            <w:pPr>
              <w:rPr>
                <w:rFonts w:ascii="宋体" w:hAnsi="宋体"/>
                <w:sz w:val="24"/>
              </w:rPr>
            </w:pPr>
          </w:p>
        </w:tc>
      </w:tr>
      <w:tr>
        <w:tblPrEx>
          <w:tblCellMar>
            <w:top w:w="0" w:type="dxa"/>
            <w:left w:w="108" w:type="dxa"/>
            <w:bottom w:w="0" w:type="dxa"/>
            <w:right w:w="108" w:type="dxa"/>
          </w:tblCellMar>
        </w:tblPrEx>
        <w:trPr>
          <w:trHeight w:val="852" w:hRule="exact"/>
        </w:trPr>
        <w:tc>
          <w:tcPr>
            <w:tcW w:w="2238" w:type="dxa"/>
            <w:noWrap w:val="0"/>
            <w:vAlign w:val="top"/>
          </w:tcPr>
          <w:p>
            <w:pPr>
              <w:rPr>
                <w:rFonts w:ascii="宋体" w:hAnsi="宋体"/>
                <w:sz w:val="24"/>
              </w:rPr>
            </w:pPr>
            <w:r>
              <w:rPr>
                <w:rFonts w:ascii="宋体" w:hAnsi="宋体"/>
                <w:sz w:val="24"/>
              </w:rPr>
              <w:t>住    所：</w:t>
            </w:r>
          </w:p>
        </w:tc>
        <w:tc>
          <w:tcPr>
            <w:tcW w:w="2779" w:type="dxa"/>
            <w:gridSpan w:val="3"/>
            <w:noWrap w:val="0"/>
            <w:vAlign w:val="top"/>
          </w:tcPr>
          <w:p>
            <w:pPr>
              <w:rPr>
                <w:rFonts w:ascii="宋体" w:hAnsi="宋体"/>
                <w:sz w:val="24"/>
              </w:rPr>
            </w:pPr>
            <w:r>
              <w:rPr>
                <w:rFonts w:ascii="宋体" w:hAnsi="宋体"/>
                <w:sz w:val="24"/>
              </w:rPr>
              <w:t>深圳市福田区福中一路1016号地铁大厦</w:t>
            </w:r>
          </w:p>
        </w:tc>
        <w:tc>
          <w:tcPr>
            <w:tcW w:w="2072" w:type="dxa"/>
            <w:noWrap w:val="0"/>
            <w:vAlign w:val="top"/>
          </w:tcPr>
          <w:p>
            <w:pPr>
              <w:rPr>
                <w:rFonts w:ascii="宋体" w:hAnsi="宋体"/>
                <w:sz w:val="24"/>
              </w:rPr>
            </w:pPr>
          </w:p>
        </w:tc>
        <w:tc>
          <w:tcPr>
            <w:tcW w:w="3084" w:type="dxa"/>
            <w:gridSpan w:val="2"/>
            <w:noWrap w:val="0"/>
            <w:vAlign w:val="top"/>
          </w:tcPr>
          <w:p>
            <w:pPr>
              <w:rPr>
                <w:rFonts w:ascii="宋体" w:hAnsi="宋体"/>
                <w:sz w:val="24"/>
              </w:rPr>
            </w:pPr>
          </w:p>
        </w:tc>
      </w:tr>
      <w:tr>
        <w:tblPrEx>
          <w:tblCellMar>
            <w:top w:w="0" w:type="dxa"/>
            <w:left w:w="108" w:type="dxa"/>
            <w:bottom w:w="0" w:type="dxa"/>
            <w:right w:w="108" w:type="dxa"/>
          </w:tblCellMar>
        </w:tblPrEx>
        <w:trPr>
          <w:trHeight w:val="566" w:hRule="exact"/>
        </w:trPr>
        <w:tc>
          <w:tcPr>
            <w:tcW w:w="2238" w:type="dxa"/>
            <w:noWrap w:val="0"/>
            <w:vAlign w:val="top"/>
          </w:tcPr>
          <w:p>
            <w:pPr>
              <w:rPr>
                <w:rFonts w:ascii="宋体" w:hAnsi="宋体"/>
                <w:sz w:val="24"/>
              </w:rPr>
            </w:pPr>
            <w:r>
              <w:rPr>
                <w:rFonts w:ascii="宋体" w:hAnsi="宋体"/>
                <w:sz w:val="24"/>
              </w:rPr>
              <w:t>电    话：</w:t>
            </w:r>
          </w:p>
        </w:tc>
        <w:tc>
          <w:tcPr>
            <w:tcW w:w="2779" w:type="dxa"/>
            <w:gridSpan w:val="3"/>
            <w:noWrap w:val="0"/>
            <w:vAlign w:val="top"/>
          </w:tcPr>
          <w:p>
            <w:pPr>
              <w:rPr>
                <w:rFonts w:ascii="宋体" w:hAnsi="宋体"/>
                <w:sz w:val="24"/>
                <w:highlight w:val="yellow"/>
              </w:rPr>
            </w:pPr>
            <w:r>
              <w:rPr>
                <w:rFonts w:hint="eastAsia" w:ascii="宋体" w:hAnsi="宋体"/>
                <w:sz w:val="24"/>
              </w:rPr>
              <w:t>0755-23992600</w:t>
            </w:r>
          </w:p>
        </w:tc>
        <w:tc>
          <w:tcPr>
            <w:tcW w:w="2072" w:type="dxa"/>
            <w:noWrap w:val="0"/>
            <w:vAlign w:val="top"/>
          </w:tcPr>
          <w:p>
            <w:pPr>
              <w:rPr>
                <w:rFonts w:ascii="宋体" w:hAnsi="宋体"/>
                <w:sz w:val="24"/>
                <w:highlight w:val="yellow"/>
              </w:rPr>
            </w:pPr>
            <w:r>
              <w:rPr>
                <w:rFonts w:ascii="宋体" w:hAnsi="宋体"/>
                <w:sz w:val="24"/>
              </w:rPr>
              <w:t>传    真：</w:t>
            </w:r>
          </w:p>
        </w:tc>
        <w:tc>
          <w:tcPr>
            <w:tcW w:w="3084" w:type="dxa"/>
            <w:gridSpan w:val="2"/>
            <w:noWrap w:val="0"/>
            <w:vAlign w:val="top"/>
          </w:tcPr>
          <w:p>
            <w:pPr>
              <w:rPr>
                <w:rFonts w:ascii="宋体" w:hAnsi="宋体"/>
                <w:sz w:val="24"/>
                <w:highlight w:val="yellow"/>
              </w:rPr>
            </w:pPr>
            <w:r>
              <w:rPr>
                <w:rFonts w:hint="eastAsia" w:ascii="宋体" w:hAnsi="宋体"/>
                <w:sz w:val="24"/>
              </w:rPr>
              <w:t>0755-23992555</w:t>
            </w:r>
          </w:p>
        </w:tc>
      </w:tr>
      <w:tr>
        <w:tblPrEx>
          <w:tblCellMar>
            <w:top w:w="0" w:type="dxa"/>
            <w:left w:w="108" w:type="dxa"/>
            <w:bottom w:w="0" w:type="dxa"/>
            <w:right w:w="108" w:type="dxa"/>
          </w:tblCellMar>
        </w:tblPrEx>
        <w:trPr>
          <w:trHeight w:val="716" w:hRule="exact"/>
        </w:trPr>
        <w:tc>
          <w:tcPr>
            <w:tcW w:w="2238" w:type="dxa"/>
            <w:noWrap w:val="0"/>
            <w:vAlign w:val="top"/>
          </w:tcPr>
          <w:p>
            <w:pPr>
              <w:rPr>
                <w:rFonts w:ascii="宋体" w:hAnsi="宋体"/>
                <w:sz w:val="24"/>
              </w:rPr>
            </w:pPr>
            <w:r>
              <w:rPr>
                <w:rFonts w:ascii="宋体" w:hAnsi="宋体"/>
                <w:sz w:val="24"/>
              </w:rPr>
              <w:t>开户银行：</w:t>
            </w:r>
          </w:p>
        </w:tc>
        <w:tc>
          <w:tcPr>
            <w:tcW w:w="2779" w:type="dxa"/>
            <w:gridSpan w:val="3"/>
            <w:noWrap w:val="0"/>
            <w:vAlign w:val="top"/>
          </w:tcPr>
          <w:p>
            <w:pPr>
              <w:rPr>
                <w:rFonts w:ascii="宋体" w:hAnsi="宋体"/>
                <w:sz w:val="24"/>
                <w:highlight w:val="yellow"/>
              </w:rPr>
            </w:pPr>
            <w:r>
              <w:rPr>
                <w:rFonts w:hint="eastAsia" w:ascii="宋体" w:hAnsi="宋体"/>
                <w:sz w:val="24"/>
              </w:rPr>
              <w:t>招行益田</w:t>
            </w:r>
            <w:r>
              <w:rPr>
                <w:rFonts w:ascii="宋体" w:hAnsi="宋体"/>
                <w:sz w:val="24"/>
              </w:rPr>
              <w:t>支行</w:t>
            </w:r>
          </w:p>
        </w:tc>
        <w:tc>
          <w:tcPr>
            <w:tcW w:w="2072" w:type="dxa"/>
            <w:noWrap w:val="0"/>
            <w:vAlign w:val="top"/>
          </w:tcPr>
          <w:p>
            <w:pPr>
              <w:rPr>
                <w:rFonts w:ascii="宋体" w:hAnsi="宋体"/>
                <w:sz w:val="24"/>
                <w:highlight w:val="yellow"/>
              </w:rPr>
            </w:pPr>
            <w:r>
              <w:rPr>
                <w:rFonts w:ascii="宋体" w:hAnsi="宋体"/>
                <w:sz w:val="24"/>
              </w:rPr>
              <w:t>开户全名：</w:t>
            </w:r>
          </w:p>
        </w:tc>
        <w:tc>
          <w:tcPr>
            <w:tcW w:w="3084" w:type="dxa"/>
            <w:gridSpan w:val="2"/>
            <w:noWrap w:val="0"/>
            <w:vAlign w:val="top"/>
          </w:tcPr>
          <w:p>
            <w:pPr>
              <w:rPr>
                <w:rFonts w:ascii="宋体" w:hAnsi="宋体"/>
                <w:sz w:val="24"/>
                <w:highlight w:val="yellow"/>
              </w:rPr>
            </w:pPr>
            <w:r>
              <w:rPr>
                <w:rFonts w:ascii="宋体" w:hAnsi="宋体"/>
                <w:sz w:val="24"/>
              </w:rPr>
              <w:t>深圳市地铁集团有限公司</w:t>
            </w:r>
          </w:p>
        </w:tc>
      </w:tr>
      <w:tr>
        <w:tblPrEx>
          <w:tblCellMar>
            <w:top w:w="0" w:type="dxa"/>
            <w:left w:w="108" w:type="dxa"/>
            <w:bottom w:w="0" w:type="dxa"/>
            <w:right w:w="108" w:type="dxa"/>
          </w:tblCellMar>
        </w:tblPrEx>
        <w:trPr>
          <w:trHeight w:val="699" w:hRule="exact"/>
        </w:trPr>
        <w:tc>
          <w:tcPr>
            <w:tcW w:w="2238" w:type="dxa"/>
            <w:noWrap w:val="0"/>
            <w:vAlign w:val="top"/>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779" w:type="dxa"/>
            <w:gridSpan w:val="3"/>
            <w:noWrap w:val="0"/>
            <w:vAlign w:val="top"/>
          </w:tcPr>
          <w:p>
            <w:pPr>
              <w:rPr>
                <w:rFonts w:ascii="宋体" w:hAnsi="宋体"/>
                <w:sz w:val="24"/>
              </w:rPr>
            </w:pPr>
            <w:r>
              <w:rPr>
                <w:rFonts w:hint="eastAsia" w:ascii="宋体" w:hAnsi="宋体"/>
                <w:sz w:val="24"/>
              </w:rPr>
              <w:t>755904924410506</w:t>
            </w:r>
          </w:p>
        </w:tc>
        <w:tc>
          <w:tcPr>
            <w:tcW w:w="2072" w:type="dxa"/>
            <w:noWrap w:val="0"/>
            <w:vAlign w:val="top"/>
          </w:tcPr>
          <w:p>
            <w:pPr>
              <w:rPr>
                <w:rFonts w:ascii="宋体" w:hAnsi="宋体"/>
                <w:sz w:val="24"/>
              </w:rPr>
            </w:pPr>
            <w:r>
              <w:rPr>
                <w:rFonts w:ascii="宋体" w:hAnsi="宋体"/>
                <w:sz w:val="24"/>
              </w:rPr>
              <w:t>邮政编码：</w:t>
            </w:r>
          </w:p>
        </w:tc>
        <w:tc>
          <w:tcPr>
            <w:tcW w:w="3084" w:type="dxa"/>
            <w:gridSpan w:val="2"/>
            <w:noWrap w:val="0"/>
            <w:vAlign w:val="top"/>
          </w:tcPr>
          <w:p>
            <w:pPr>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78" w:hRule="exact"/>
        </w:trPr>
        <w:tc>
          <w:tcPr>
            <w:tcW w:w="2238" w:type="dxa"/>
            <w:noWrap w:val="0"/>
            <w:vAlign w:val="top"/>
          </w:tcPr>
          <w:p>
            <w:pPr>
              <w:rPr>
                <w:rFonts w:ascii="宋体" w:hAnsi="宋体"/>
                <w:sz w:val="24"/>
              </w:rPr>
            </w:pPr>
            <w:r>
              <w:rPr>
                <w:rFonts w:hint="eastAsia" w:ascii="宋体" w:hAnsi="宋体"/>
                <w:sz w:val="24"/>
              </w:rPr>
              <w:t>项目主管部门经办人及电话：</w:t>
            </w:r>
          </w:p>
        </w:tc>
        <w:tc>
          <w:tcPr>
            <w:tcW w:w="2779" w:type="dxa"/>
            <w:gridSpan w:val="3"/>
            <w:noWrap w:val="0"/>
            <w:vAlign w:val="top"/>
          </w:tcPr>
          <w:p>
            <w:pPr>
              <w:rPr>
                <w:rFonts w:ascii="宋体" w:hAnsi="宋体"/>
                <w:szCs w:val="21"/>
              </w:rPr>
            </w:pPr>
            <w:r>
              <w:rPr>
                <w:rFonts w:hint="eastAsia" w:ascii="宋体" w:hAnsi="宋体"/>
                <w:sz w:val="24"/>
              </w:rPr>
              <w:t>徐玉堂 0755-89986623</w:t>
            </w:r>
          </w:p>
        </w:tc>
        <w:tc>
          <w:tcPr>
            <w:tcW w:w="2072" w:type="dxa"/>
            <w:noWrap w:val="0"/>
            <w:vAlign w:val="top"/>
          </w:tcPr>
          <w:p>
            <w:pPr>
              <w:rPr>
                <w:rFonts w:ascii="宋体" w:hAnsi="宋体"/>
                <w:sz w:val="24"/>
              </w:rPr>
            </w:pPr>
            <w:r>
              <w:rPr>
                <w:rFonts w:hint="eastAsia" w:ascii="宋体" w:hAnsi="宋体"/>
                <w:sz w:val="24"/>
              </w:rPr>
              <w:t>项目主管部门审核人：</w:t>
            </w:r>
          </w:p>
        </w:tc>
        <w:tc>
          <w:tcPr>
            <w:tcW w:w="3084" w:type="dxa"/>
            <w:gridSpan w:val="2"/>
            <w:noWrap w:val="0"/>
            <w:vAlign w:val="top"/>
          </w:tcPr>
          <w:p>
            <w:pPr>
              <w:rPr>
                <w:rFonts w:ascii="宋体" w:hAnsi="宋体"/>
                <w:szCs w:val="21"/>
              </w:rPr>
            </w:pPr>
          </w:p>
        </w:tc>
      </w:tr>
      <w:tr>
        <w:tblPrEx>
          <w:tblCellMar>
            <w:top w:w="0" w:type="dxa"/>
            <w:left w:w="108" w:type="dxa"/>
            <w:bottom w:w="0" w:type="dxa"/>
            <w:right w:w="108" w:type="dxa"/>
          </w:tblCellMar>
        </w:tblPrEx>
        <w:trPr>
          <w:trHeight w:val="1721" w:hRule="exact"/>
        </w:trPr>
        <w:tc>
          <w:tcPr>
            <w:tcW w:w="2238" w:type="dxa"/>
            <w:noWrap w:val="0"/>
            <w:vAlign w:val="top"/>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779" w:type="dxa"/>
            <w:gridSpan w:val="3"/>
            <w:noWrap w:val="0"/>
            <w:vAlign w:val="top"/>
          </w:tcPr>
          <w:p>
            <w:pPr>
              <w:rPr>
                <w:rFonts w:ascii="宋体" w:hAnsi="宋体"/>
                <w:szCs w:val="21"/>
              </w:rPr>
            </w:pPr>
            <w:r>
              <w:rPr>
                <w:rFonts w:hint="eastAsia" w:ascii="宋体" w:hAnsi="宋体"/>
                <w:sz w:val="24"/>
              </w:rPr>
              <w:t>蒋  烨 0755-23882725</w:t>
            </w:r>
          </w:p>
        </w:tc>
        <w:tc>
          <w:tcPr>
            <w:tcW w:w="2072" w:type="dxa"/>
            <w:noWrap w:val="0"/>
            <w:vAlign w:val="top"/>
          </w:tcPr>
          <w:p>
            <w:pPr>
              <w:rPr>
                <w:rFonts w:ascii="宋体" w:hAnsi="宋体"/>
                <w:sz w:val="24"/>
              </w:rPr>
            </w:pPr>
            <w:r>
              <w:rPr>
                <w:rFonts w:hint="eastAsia" w:ascii="宋体" w:hAnsi="宋体"/>
                <w:sz w:val="24"/>
              </w:rPr>
              <w:t>合约部门审核人：</w:t>
            </w:r>
          </w:p>
        </w:tc>
        <w:tc>
          <w:tcPr>
            <w:tcW w:w="3084" w:type="dxa"/>
            <w:gridSpan w:val="2"/>
            <w:noWrap w:val="0"/>
            <w:vAlign w:val="top"/>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38" w:type="dxa"/>
          <w:trHeight w:val="66" w:hRule="exact"/>
        </w:trPr>
        <w:tc>
          <w:tcPr>
            <w:tcW w:w="2779" w:type="dxa"/>
            <w:gridSpan w:val="2"/>
            <w:noWrap w:val="0"/>
            <w:vAlign w:val="top"/>
          </w:tcPr>
          <w:p>
            <w:pPr>
              <w:adjustRightInd w:val="0"/>
              <w:snapToGrid w:val="0"/>
              <w:spacing w:line="360" w:lineRule="auto"/>
              <w:rPr>
                <w:rFonts w:ascii="宋体" w:hAnsi="宋体"/>
                <w:sz w:val="24"/>
                <w:szCs w:val="24"/>
              </w:rPr>
            </w:pPr>
          </w:p>
        </w:tc>
        <w:tc>
          <w:tcPr>
            <w:tcW w:w="2072" w:type="dxa"/>
            <w:noWrap w:val="0"/>
            <w:vAlign w:val="top"/>
          </w:tcPr>
          <w:p>
            <w:pPr>
              <w:adjustRightInd w:val="0"/>
              <w:snapToGrid w:val="0"/>
              <w:spacing w:line="360" w:lineRule="auto"/>
              <w:rPr>
                <w:rFonts w:ascii="宋体" w:hAnsi="宋体"/>
                <w:sz w:val="24"/>
                <w:szCs w:val="24"/>
              </w:rPr>
            </w:pPr>
          </w:p>
        </w:tc>
        <w:tc>
          <w:tcPr>
            <w:tcW w:w="3084" w:type="dxa"/>
            <w:gridSpan w:val="3"/>
            <w:noWrap w:val="0"/>
            <w:vAlign w:val="top"/>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776" w:hRule="exact"/>
        </w:trPr>
        <w:tc>
          <w:tcPr>
            <w:tcW w:w="2238" w:type="dxa"/>
            <w:noWrap w:val="0"/>
            <w:vAlign w:val="top"/>
          </w:tcPr>
          <w:p>
            <w:pPr>
              <w:adjustRightInd w:val="0"/>
              <w:snapToGrid w:val="0"/>
              <w:spacing w:line="360" w:lineRule="auto"/>
              <w:rPr>
                <w:rFonts w:ascii="宋体" w:hAnsi="宋体"/>
                <w:b/>
                <w:sz w:val="24"/>
                <w:szCs w:val="24"/>
              </w:rPr>
            </w:pPr>
            <w:r>
              <w:rPr>
                <w:rFonts w:hint="eastAsia" w:ascii="宋体" w:hAnsi="宋体"/>
                <w:b/>
                <w:sz w:val="24"/>
                <w:szCs w:val="24"/>
              </w:rPr>
              <w:t>乙方</w:t>
            </w:r>
            <w:r>
              <w:rPr>
                <w:rFonts w:ascii="宋体" w:hAnsi="宋体"/>
                <w:b/>
                <w:sz w:val="24"/>
                <w:szCs w:val="24"/>
              </w:rPr>
              <w:t>(</w:t>
            </w:r>
            <w:r>
              <w:rPr>
                <w:rFonts w:hint="eastAsia" w:ascii="宋体" w:hAnsi="宋体"/>
                <w:b/>
                <w:sz w:val="24"/>
                <w:szCs w:val="24"/>
              </w:rPr>
              <w:t>盖</w:t>
            </w:r>
            <w:r>
              <w:rPr>
                <w:rFonts w:ascii="宋体" w:hAnsi="宋体"/>
                <w:b/>
                <w:sz w:val="24"/>
                <w:szCs w:val="24"/>
              </w:rPr>
              <w:t>章)：</w:t>
            </w:r>
          </w:p>
        </w:tc>
        <w:tc>
          <w:tcPr>
            <w:tcW w:w="2779" w:type="dxa"/>
            <w:gridSpan w:val="3"/>
            <w:noWrap w:val="0"/>
            <w:vAlign w:val="top"/>
          </w:tcPr>
          <w:p>
            <w:pPr>
              <w:adjustRightInd w:val="0"/>
              <w:snapToGrid w:val="0"/>
              <w:spacing w:line="360" w:lineRule="auto"/>
              <w:rPr>
                <w:rFonts w:ascii="宋体" w:hAnsi="宋体"/>
                <w:b/>
                <w:sz w:val="24"/>
                <w:szCs w:val="24"/>
              </w:rPr>
            </w:pPr>
          </w:p>
        </w:tc>
        <w:tc>
          <w:tcPr>
            <w:tcW w:w="2072" w:type="dxa"/>
            <w:noWrap w:val="0"/>
            <w:vAlign w:val="top"/>
          </w:tcPr>
          <w:p>
            <w:pPr>
              <w:adjustRightInd w:val="0"/>
              <w:snapToGrid w:val="0"/>
              <w:spacing w:line="360" w:lineRule="auto"/>
              <w:rPr>
                <w:rFonts w:ascii="宋体" w:hAnsi="宋体"/>
                <w:b/>
                <w:sz w:val="24"/>
                <w:szCs w:val="24"/>
              </w:rPr>
            </w:pPr>
            <w:r>
              <w:rPr>
                <w:rFonts w:ascii="宋体" w:hAnsi="宋体"/>
                <w:b/>
                <w:sz w:val="24"/>
                <w:szCs w:val="24"/>
              </w:rPr>
              <w:t>法定代表人</w:t>
            </w:r>
            <w:r>
              <w:rPr>
                <w:rFonts w:hint="eastAsia" w:ascii="宋体" w:hAnsi="宋体"/>
                <w:b/>
                <w:sz w:val="24"/>
                <w:szCs w:val="24"/>
              </w:rPr>
              <w:t>或授权代表</w:t>
            </w:r>
            <w:r>
              <w:rPr>
                <w:rFonts w:ascii="宋体" w:hAnsi="宋体"/>
                <w:b/>
                <w:sz w:val="24"/>
                <w:szCs w:val="24"/>
              </w:rPr>
              <w:t>：</w:t>
            </w:r>
          </w:p>
        </w:tc>
        <w:tc>
          <w:tcPr>
            <w:tcW w:w="3084" w:type="dxa"/>
            <w:gridSpan w:val="2"/>
            <w:noWrap w:val="0"/>
            <w:vAlign w:val="top"/>
          </w:tcPr>
          <w:p>
            <w:pPr>
              <w:adjustRightInd w:val="0"/>
              <w:snapToGrid w:val="0"/>
              <w:spacing w:line="360" w:lineRule="auto"/>
              <w:rPr>
                <w:rFonts w:hint="eastAsia" w:ascii="宋体" w:hAnsi="宋体"/>
                <w:sz w:val="24"/>
                <w:szCs w:val="24"/>
                <w:highlight w:val="yellow"/>
              </w:rPr>
            </w:pPr>
          </w:p>
        </w:tc>
      </w:tr>
      <w:tr>
        <w:tblPrEx>
          <w:tblCellMar>
            <w:top w:w="0" w:type="dxa"/>
            <w:left w:w="108" w:type="dxa"/>
            <w:bottom w:w="0" w:type="dxa"/>
            <w:right w:w="108" w:type="dxa"/>
          </w:tblCellMar>
        </w:tblPrEx>
        <w:trPr>
          <w:trHeight w:val="709" w:hRule="exact"/>
        </w:trPr>
        <w:tc>
          <w:tcPr>
            <w:tcW w:w="2238" w:type="dxa"/>
            <w:noWrap w:val="0"/>
            <w:vAlign w:val="top"/>
          </w:tcPr>
          <w:p>
            <w:pPr>
              <w:adjustRightInd w:val="0"/>
              <w:snapToGrid w:val="0"/>
              <w:spacing w:line="360" w:lineRule="auto"/>
              <w:rPr>
                <w:rFonts w:ascii="宋体" w:hAnsi="宋体"/>
                <w:sz w:val="24"/>
                <w:szCs w:val="24"/>
              </w:rPr>
            </w:pPr>
            <w:r>
              <w:rPr>
                <w:rFonts w:ascii="宋体" w:hAnsi="宋体"/>
                <w:sz w:val="24"/>
                <w:szCs w:val="24"/>
              </w:rPr>
              <w:t>住    所：</w:t>
            </w:r>
          </w:p>
        </w:tc>
        <w:tc>
          <w:tcPr>
            <w:tcW w:w="2779" w:type="dxa"/>
            <w:gridSpan w:val="3"/>
            <w:noWrap w:val="0"/>
            <w:vAlign w:val="top"/>
          </w:tcPr>
          <w:p>
            <w:pPr>
              <w:adjustRightInd w:val="0"/>
              <w:snapToGrid w:val="0"/>
              <w:spacing w:line="360" w:lineRule="auto"/>
              <w:rPr>
                <w:rFonts w:ascii="宋体" w:hAnsi="宋体"/>
                <w:sz w:val="24"/>
                <w:szCs w:val="24"/>
              </w:rPr>
            </w:pPr>
          </w:p>
          <w:p>
            <w:pPr>
              <w:adjustRightInd w:val="0"/>
              <w:snapToGrid w:val="0"/>
              <w:spacing w:line="360" w:lineRule="auto"/>
              <w:rPr>
                <w:rFonts w:ascii="宋体" w:hAnsi="宋体"/>
                <w:sz w:val="24"/>
                <w:szCs w:val="24"/>
              </w:rPr>
            </w:pPr>
          </w:p>
        </w:tc>
        <w:tc>
          <w:tcPr>
            <w:tcW w:w="2072" w:type="dxa"/>
            <w:noWrap w:val="0"/>
            <w:vAlign w:val="top"/>
          </w:tcPr>
          <w:p>
            <w:pPr>
              <w:adjustRightInd w:val="0"/>
              <w:snapToGrid w:val="0"/>
              <w:spacing w:line="360" w:lineRule="auto"/>
              <w:rPr>
                <w:rFonts w:ascii="宋体" w:hAnsi="宋体"/>
                <w:sz w:val="24"/>
                <w:szCs w:val="24"/>
              </w:rPr>
            </w:pPr>
          </w:p>
        </w:tc>
        <w:tc>
          <w:tcPr>
            <w:tcW w:w="3084" w:type="dxa"/>
            <w:gridSpan w:val="2"/>
            <w:noWrap w:val="0"/>
            <w:vAlign w:val="top"/>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8" w:hRule="exact"/>
        </w:trPr>
        <w:tc>
          <w:tcPr>
            <w:tcW w:w="2238" w:type="dxa"/>
            <w:noWrap w:val="0"/>
            <w:vAlign w:val="top"/>
          </w:tcPr>
          <w:p>
            <w:pPr>
              <w:adjustRightInd w:val="0"/>
              <w:snapToGrid w:val="0"/>
              <w:spacing w:line="360" w:lineRule="auto"/>
              <w:rPr>
                <w:rFonts w:ascii="宋体" w:hAnsi="宋体"/>
                <w:sz w:val="24"/>
                <w:szCs w:val="24"/>
              </w:rPr>
            </w:pPr>
            <w:r>
              <w:rPr>
                <w:rFonts w:ascii="宋体" w:hAnsi="宋体"/>
                <w:sz w:val="24"/>
                <w:szCs w:val="24"/>
              </w:rPr>
              <w:t>电    话：</w:t>
            </w:r>
          </w:p>
        </w:tc>
        <w:tc>
          <w:tcPr>
            <w:tcW w:w="2779" w:type="dxa"/>
            <w:gridSpan w:val="3"/>
            <w:noWrap w:val="0"/>
            <w:vAlign w:val="top"/>
          </w:tcPr>
          <w:p>
            <w:pPr>
              <w:adjustRightInd w:val="0"/>
              <w:snapToGrid w:val="0"/>
              <w:spacing w:line="360" w:lineRule="auto"/>
              <w:rPr>
                <w:rFonts w:ascii="宋体" w:hAnsi="宋体"/>
                <w:sz w:val="24"/>
                <w:szCs w:val="24"/>
              </w:rPr>
            </w:pPr>
          </w:p>
        </w:tc>
        <w:tc>
          <w:tcPr>
            <w:tcW w:w="2072" w:type="dxa"/>
            <w:noWrap w:val="0"/>
            <w:vAlign w:val="top"/>
          </w:tcPr>
          <w:p>
            <w:pPr>
              <w:adjustRightInd w:val="0"/>
              <w:snapToGrid w:val="0"/>
              <w:spacing w:line="360" w:lineRule="auto"/>
              <w:rPr>
                <w:rFonts w:ascii="宋体" w:hAnsi="宋体"/>
                <w:sz w:val="24"/>
                <w:szCs w:val="24"/>
              </w:rPr>
            </w:pPr>
            <w:r>
              <w:rPr>
                <w:rFonts w:ascii="宋体" w:hAnsi="宋体"/>
                <w:sz w:val="24"/>
                <w:szCs w:val="24"/>
              </w:rPr>
              <w:t>传    真：</w:t>
            </w:r>
          </w:p>
        </w:tc>
        <w:tc>
          <w:tcPr>
            <w:tcW w:w="3084" w:type="dxa"/>
            <w:gridSpan w:val="2"/>
            <w:noWrap w:val="0"/>
            <w:vAlign w:val="top"/>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1067" w:hRule="exact"/>
        </w:trPr>
        <w:tc>
          <w:tcPr>
            <w:tcW w:w="2238" w:type="dxa"/>
            <w:noWrap w:val="0"/>
            <w:vAlign w:val="top"/>
          </w:tcPr>
          <w:p>
            <w:pPr>
              <w:adjustRightInd w:val="0"/>
              <w:snapToGrid w:val="0"/>
              <w:spacing w:line="360" w:lineRule="auto"/>
              <w:rPr>
                <w:rFonts w:ascii="宋体" w:hAnsi="宋体"/>
                <w:sz w:val="24"/>
                <w:szCs w:val="24"/>
              </w:rPr>
            </w:pPr>
            <w:r>
              <w:rPr>
                <w:rFonts w:ascii="宋体" w:hAnsi="宋体"/>
                <w:sz w:val="24"/>
                <w:szCs w:val="24"/>
              </w:rPr>
              <w:t>开户银行：</w:t>
            </w:r>
          </w:p>
        </w:tc>
        <w:tc>
          <w:tcPr>
            <w:tcW w:w="2779" w:type="dxa"/>
            <w:gridSpan w:val="3"/>
            <w:noWrap w:val="0"/>
            <w:vAlign w:val="top"/>
          </w:tcPr>
          <w:p>
            <w:pPr>
              <w:adjustRightInd w:val="0"/>
              <w:snapToGrid w:val="0"/>
              <w:spacing w:line="360" w:lineRule="auto"/>
              <w:rPr>
                <w:rFonts w:hint="eastAsia" w:ascii="宋体" w:hAnsi="宋体"/>
                <w:sz w:val="24"/>
                <w:szCs w:val="24"/>
              </w:rPr>
            </w:pPr>
          </w:p>
        </w:tc>
        <w:tc>
          <w:tcPr>
            <w:tcW w:w="2072" w:type="dxa"/>
            <w:noWrap w:val="0"/>
            <w:vAlign w:val="top"/>
          </w:tcPr>
          <w:p>
            <w:pPr>
              <w:adjustRightInd w:val="0"/>
              <w:snapToGrid w:val="0"/>
              <w:spacing w:line="360" w:lineRule="auto"/>
              <w:rPr>
                <w:rFonts w:ascii="宋体" w:hAnsi="宋体"/>
                <w:sz w:val="24"/>
                <w:szCs w:val="24"/>
              </w:rPr>
            </w:pPr>
            <w:r>
              <w:rPr>
                <w:rFonts w:ascii="宋体" w:hAnsi="宋体"/>
                <w:sz w:val="24"/>
                <w:szCs w:val="24"/>
              </w:rPr>
              <w:t>开户全名：</w:t>
            </w:r>
          </w:p>
        </w:tc>
        <w:tc>
          <w:tcPr>
            <w:tcW w:w="3084" w:type="dxa"/>
            <w:gridSpan w:val="2"/>
            <w:noWrap w:val="0"/>
            <w:vAlign w:val="top"/>
          </w:tcPr>
          <w:p>
            <w:pPr>
              <w:adjustRightInd w:val="0"/>
              <w:snapToGrid w:val="0"/>
              <w:spacing w:line="360" w:lineRule="auto"/>
              <w:rPr>
                <w:rFonts w:hint="eastAsia" w:ascii="宋体" w:hAnsi="宋体"/>
                <w:sz w:val="24"/>
                <w:szCs w:val="24"/>
              </w:rPr>
            </w:pPr>
          </w:p>
        </w:tc>
      </w:tr>
      <w:tr>
        <w:tblPrEx>
          <w:tblCellMar>
            <w:top w:w="0" w:type="dxa"/>
            <w:left w:w="108" w:type="dxa"/>
            <w:bottom w:w="0" w:type="dxa"/>
            <w:right w:w="108" w:type="dxa"/>
          </w:tblCellMar>
        </w:tblPrEx>
        <w:trPr>
          <w:trHeight w:val="556" w:hRule="exact"/>
        </w:trPr>
        <w:tc>
          <w:tcPr>
            <w:tcW w:w="2238" w:type="dxa"/>
            <w:noWrap w:val="0"/>
            <w:vAlign w:val="top"/>
          </w:tcPr>
          <w:p>
            <w:pPr>
              <w:adjustRightInd w:val="0"/>
              <w:snapToGrid w:val="0"/>
              <w:spacing w:line="360" w:lineRule="auto"/>
              <w:rPr>
                <w:rFonts w:ascii="宋体" w:hAnsi="宋体"/>
                <w:sz w:val="24"/>
                <w:szCs w:val="24"/>
              </w:rPr>
            </w:pPr>
            <w:r>
              <w:rPr>
                <w:rFonts w:ascii="宋体" w:hAnsi="宋体"/>
                <w:sz w:val="24"/>
                <w:szCs w:val="24"/>
              </w:rPr>
              <w:t>账    号</w:t>
            </w:r>
            <w:r>
              <w:rPr>
                <w:rFonts w:hint="eastAsia" w:ascii="宋体" w:hAnsi="宋体"/>
                <w:sz w:val="24"/>
                <w:szCs w:val="24"/>
              </w:rPr>
              <w:t>：</w:t>
            </w:r>
          </w:p>
        </w:tc>
        <w:tc>
          <w:tcPr>
            <w:tcW w:w="2779" w:type="dxa"/>
            <w:gridSpan w:val="3"/>
            <w:noWrap w:val="0"/>
            <w:vAlign w:val="top"/>
          </w:tcPr>
          <w:p>
            <w:pPr>
              <w:adjustRightInd w:val="0"/>
              <w:snapToGrid w:val="0"/>
              <w:spacing w:line="360" w:lineRule="auto"/>
              <w:rPr>
                <w:rFonts w:ascii="宋体" w:hAnsi="宋体"/>
                <w:sz w:val="24"/>
                <w:szCs w:val="24"/>
              </w:rPr>
            </w:pPr>
          </w:p>
        </w:tc>
        <w:tc>
          <w:tcPr>
            <w:tcW w:w="2072" w:type="dxa"/>
            <w:noWrap w:val="0"/>
            <w:vAlign w:val="top"/>
          </w:tcPr>
          <w:p>
            <w:pPr>
              <w:adjustRightInd w:val="0"/>
              <w:snapToGrid w:val="0"/>
              <w:spacing w:line="360" w:lineRule="auto"/>
              <w:rPr>
                <w:rFonts w:ascii="宋体" w:hAnsi="宋体"/>
                <w:sz w:val="24"/>
                <w:szCs w:val="24"/>
              </w:rPr>
            </w:pPr>
            <w:r>
              <w:rPr>
                <w:rFonts w:ascii="宋体" w:hAnsi="宋体"/>
                <w:sz w:val="24"/>
                <w:szCs w:val="24"/>
              </w:rPr>
              <w:t>邮政编码：</w:t>
            </w:r>
          </w:p>
        </w:tc>
        <w:tc>
          <w:tcPr>
            <w:tcW w:w="3084" w:type="dxa"/>
            <w:gridSpan w:val="2"/>
            <w:noWrap w:val="0"/>
            <w:vAlign w:val="top"/>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62" w:hRule="exact"/>
        </w:trPr>
        <w:tc>
          <w:tcPr>
            <w:tcW w:w="2238" w:type="dxa"/>
            <w:noWrap w:val="0"/>
            <w:vAlign w:val="top"/>
          </w:tcPr>
          <w:p>
            <w:pPr>
              <w:adjustRightInd w:val="0"/>
              <w:snapToGrid w:val="0"/>
              <w:spacing w:line="360" w:lineRule="auto"/>
              <w:rPr>
                <w:rFonts w:ascii="宋体" w:hAnsi="宋体"/>
                <w:sz w:val="24"/>
                <w:szCs w:val="24"/>
              </w:rPr>
            </w:pPr>
            <w:r>
              <w:rPr>
                <w:rFonts w:hint="eastAsia" w:ascii="宋体" w:hAnsi="宋体"/>
                <w:sz w:val="24"/>
                <w:szCs w:val="24"/>
              </w:rPr>
              <w:t>乙方经办人：</w:t>
            </w:r>
          </w:p>
        </w:tc>
        <w:tc>
          <w:tcPr>
            <w:tcW w:w="2779" w:type="dxa"/>
            <w:gridSpan w:val="3"/>
            <w:noWrap w:val="0"/>
            <w:vAlign w:val="top"/>
          </w:tcPr>
          <w:p>
            <w:pPr>
              <w:adjustRightInd w:val="0"/>
              <w:snapToGrid w:val="0"/>
              <w:spacing w:line="360" w:lineRule="auto"/>
              <w:rPr>
                <w:rFonts w:hint="eastAsia" w:ascii="宋体" w:hAnsi="宋体"/>
                <w:sz w:val="24"/>
                <w:szCs w:val="24"/>
              </w:rPr>
            </w:pPr>
          </w:p>
        </w:tc>
        <w:tc>
          <w:tcPr>
            <w:tcW w:w="2072" w:type="dxa"/>
            <w:noWrap w:val="0"/>
            <w:vAlign w:val="top"/>
          </w:tcPr>
          <w:p>
            <w:pPr>
              <w:adjustRightInd w:val="0"/>
              <w:snapToGrid w:val="0"/>
              <w:spacing w:line="360" w:lineRule="auto"/>
              <w:rPr>
                <w:rFonts w:ascii="宋体" w:hAnsi="宋体"/>
                <w:sz w:val="24"/>
                <w:szCs w:val="24"/>
              </w:rPr>
            </w:pPr>
            <w:r>
              <w:rPr>
                <w:rFonts w:hint="eastAsia" w:ascii="宋体" w:hAnsi="宋体"/>
                <w:sz w:val="24"/>
                <w:szCs w:val="24"/>
              </w:rPr>
              <w:t>乙方经办人电话：</w:t>
            </w:r>
          </w:p>
        </w:tc>
        <w:tc>
          <w:tcPr>
            <w:tcW w:w="3084" w:type="dxa"/>
            <w:gridSpan w:val="2"/>
            <w:noWrap w:val="0"/>
            <w:vAlign w:val="top"/>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570" w:hRule="exact"/>
        </w:trPr>
        <w:tc>
          <w:tcPr>
            <w:tcW w:w="2238" w:type="dxa"/>
            <w:noWrap w:val="0"/>
            <w:vAlign w:val="top"/>
          </w:tcPr>
          <w:p>
            <w:pPr>
              <w:adjustRightInd w:val="0"/>
              <w:snapToGrid w:val="0"/>
              <w:spacing w:line="360" w:lineRule="auto"/>
              <w:rPr>
                <w:rFonts w:ascii="宋体" w:hAnsi="宋体"/>
                <w:b/>
                <w:sz w:val="24"/>
                <w:szCs w:val="24"/>
              </w:rPr>
            </w:pPr>
            <w:r>
              <w:rPr>
                <w:rFonts w:hint="eastAsia" w:ascii="宋体" w:hAnsi="宋体"/>
                <w:b/>
                <w:sz w:val="24"/>
                <w:szCs w:val="24"/>
              </w:rPr>
              <w:t>合同签署地点：</w:t>
            </w:r>
          </w:p>
        </w:tc>
        <w:tc>
          <w:tcPr>
            <w:tcW w:w="2779" w:type="dxa"/>
            <w:gridSpan w:val="3"/>
            <w:noWrap w:val="0"/>
            <w:vAlign w:val="top"/>
          </w:tcPr>
          <w:p>
            <w:pPr>
              <w:adjustRightInd w:val="0"/>
              <w:snapToGrid w:val="0"/>
              <w:spacing w:line="360" w:lineRule="auto"/>
              <w:rPr>
                <w:rFonts w:ascii="宋体" w:hAnsi="宋体"/>
                <w:b/>
                <w:sz w:val="24"/>
                <w:szCs w:val="24"/>
              </w:rPr>
            </w:pPr>
          </w:p>
        </w:tc>
        <w:tc>
          <w:tcPr>
            <w:tcW w:w="2072" w:type="dxa"/>
            <w:noWrap w:val="0"/>
            <w:vAlign w:val="top"/>
          </w:tcPr>
          <w:p>
            <w:pPr>
              <w:adjustRightInd w:val="0"/>
              <w:snapToGrid w:val="0"/>
              <w:spacing w:line="360" w:lineRule="auto"/>
              <w:rPr>
                <w:rFonts w:ascii="宋体" w:hAnsi="宋体"/>
                <w:sz w:val="24"/>
                <w:szCs w:val="24"/>
              </w:rPr>
            </w:pPr>
          </w:p>
        </w:tc>
        <w:tc>
          <w:tcPr>
            <w:tcW w:w="3084" w:type="dxa"/>
            <w:gridSpan w:val="2"/>
            <w:noWrap w:val="0"/>
            <w:vAlign w:val="top"/>
          </w:tcPr>
          <w:p>
            <w:pPr>
              <w:adjustRightInd w:val="0"/>
              <w:snapToGrid w:val="0"/>
              <w:spacing w:line="360" w:lineRule="auto"/>
              <w:rPr>
                <w:rFonts w:ascii="宋体" w:hAnsi="宋体"/>
                <w:sz w:val="24"/>
                <w:szCs w:val="24"/>
              </w:rPr>
            </w:pPr>
          </w:p>
        </w:tc>
      </w:tr>
      <w:tr>
        <w:tblPrEx>
          <w:tblCellMar>
            <w:top w:w="0" w:type="dxa"/>
            <w:left w:w="108" w:type="dxa"/>
            <w:bottom w:w="0" w:type="dxa"/>
            <w:right w:w="108" w:type="dxa"/>
          </w:tblCellMar>
        </w:tblPrEx>
        <w:trPr>
          <w:trHeight w:val="682" w:hRule="exact"/>
        </w:trPr>
        <w:tc>
          <w:tcPr>
            <w:tcW w:w="2238" w:type="dxa"/>
            <w:noWrap w:val="0"/>
            <w:vAlign w:val="top"/>
          </w:tcPr>
          <w:p>
            <w:pPr>
              <w:adjustRightInd w:val="0"/>
              <w:snapToGrid w:val="0"/>
              <w:spacing w:line="360" w:lineRule="auto"/>
              <w:rPr>
                <w:rFonts w:ascii="宋体" w:hAnsi="宋体"/>
                <w:b/>
                <w:sz w:val="24"/>
                <w:szCs w:val="24"/>
              </w:rPr>
            </w:pPr>
            <w:r>
              <w:rPr>
                <w:rFonts w:hint="eastAsia" w:ascii="宋体" w:hAnsi="宋体"/>
                <w:b/>
                <w:sz w:val="24"/>
                <w:szCs w:val="24"/>
              </w:rPr>
              <w:t>时      间：</w:t>
            </w:r>
          </w:p>
        </w:tc>
        <w:tc>
          <w:tcPr>
            <w:tcW w:w="2779" w:type="dxa"/>
            <w:gridSpan w:val="3"/>
            <w:noWrap w:val="0"/>
            <w:vAlign w:val="top"/>
          </w:tcPr>
          <w:p>
            <w:pPr>
              <w:adjustRightInd w:val="0"/>
              <w:snapToGrid w:val="0"/>
              <w:spacing w:line="360" w:lineRule="auto"/>
              <w:rPr>
                <w:rFonts w:ascii="宋体" w:hAnsi="宋体"/>
                <w:b/>
                <w:sz w:val="24"/>
                <w:szCs w:val="24"/>
              </w:rPr>
            </w:pPr>
          </w:p>
        </w:tc>
        <w:tc>
          <w:tcPr>
            <w:tcW w:w="2072" w:type="dxa"/>
            <w:noWrap w:val="0"/>
            <w:vAlign w:val="top"/>
          </w:tcPr>
          <w:p>
            <w:pPr>
              <w:adjustRightInd w:val="0"/>
              <w:snapToGrid w:val="0"/>
              <w:spacing w:line="360" w:lineRule="auto"/>
              <w:rPr>
                <w:rFonts w:ascii="宋体" w:hAnsi="宋体"/>
                <w:sz w:val="24"/>
                <w:szCs w:val="24"/>
              </w:rPr>
            </w:pPr>
          </w:p>
        </w:tc>
        <w:tc>
          <w:tcPr>
            <w:tcW w:w="3084" w:type="dxa"/>
            <w:gridSpan w:val="2"/>
            <w:noWrap w:val="0"/>
            <w:vAlign w:val="top"/>
          </w:tcPr>
          <w:p>
            <w:pPr>
              <w:adjustRightInd w:val="0"/>
              <w:snapToGrid w:val="0"/>
              <w:spacing w:line="360" w:lineRule="auto"/>
              <w:rPr>
                <w:rFonts w:ascii="宋体" w:hAnsi="宋体"/>
                <w:sz w:val="24"/>
                <w:szCs w:val="24"/>
              </w:rPr>
            </w:pPr>
          </w:p>
        </w:tc>
      </w:tr>
    </w:tbl>
    <w:p>
      <w:pPr>
        <w:spacing w:line="312" w:lineRule="auto"/>
        <w:rPr>
          <w:rFonts w:ascii="宋体" w:hAnsi="宋体"/>
          <w:sz w:val="24"/>
          <w:szCs w:val="24"/>
        </w:rPr>
      </w:pPr>
    </w:p>
    <w:p>
      <w:pPr>
        <w:spacing w:line="312" w:lineRule="auto"/>
        <w:ind w:firstLine="464"/>
        <w:jc w:val="left"/>
        <w:rPr>
          <w:rFonts w:ascii="宋体" w:hAnsi="宋体"/>
          <w:spacing w:val="-4"/>
          <w:sz w:val="24"/>
          <w:szCs w:val="24"/>
        </w:rPr>
      </w:pPr>
    </w:p>
    <w:p>
      <w:pPr>
        <w:spacing w:line="360" w:lineRule="auto"/>
        <w:rPr>
          <w:highlight w:val="none"/>
        </w:rPr>
      </w:pPr>
    </w:p>
    <w:p>
      <w:pPr>
        <w:spacing w:line="360" w:lineRule="auto"/>
        <w:jc w:val="left"/>
        <w:rPr>
          <w:rFonts w:ascii="宋体" w:hAnsi="宋体"/>
          <w:sz w:val="24"/>
        </w:rPr>
      </w:pPr>
    </w:p>
    <w:sectPr>
      <w:headerReference r:id="rId14" w:type="first"/>
      <w:footerReference r:id="rId16" w:type="first"/>
      <w:headerReference r:id="rId13" w:type="default"/>
      <w:footerReference r:id="rId15"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300000000000000"/>
    <w:charset w:val="88"/>
    <w:family w:val="roman"/>
    <w:pitch w:val="default"/>
    <w:sig w:usb0="00000000" w:usb1="00000000" w:usb2="00000016" w:usb3="00000000" w:csb0="00100001" w:csb1="00000000"/>
  </w:font>
  <w:font w:name="Heiti SC Light">
    <w:altName w:val="Arial Unicode MS"/>
    <w:panose1 w:val="00000000000000000000"/>
    <w:charset w:val="50"/>
    <w:family w:val="auto"/>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font-weight : 400">
    <w:altName w:val="Arial Unicode MS"/>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Light">
    <w:panose1 w:val="020B0502040204020203"/>
    <w:charset w:val="86"/>
    <w:family w:val="swiss"/>
    <w:pitch w:val="default"/>
    <w:sig w:usb0="80000287" w:usb1="2ACF0010" w:usb2="00000016" w:usb3="00000000" w:csb0="0004001F" w:csb1="00000000"/>
  </w:font>
  <w:font w:name="宋体-18030">
    <w:altName w:val="Arial Unicode MS"/>
    <w:panose1 w:val="00000000000000000000"/>
    <w:charset w:val="86"/>
    <w:family w:val="modern"/>
    <w:pitch w:val="default"/>
    <w:sig w:usb0="00000000" w:usb1="00000000" w:usb2="000A005E"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r>
      <w:fldChar w:fldCharType="begin"/>
    </w:r>
    <w:r>
      <w:instrText xml:space="preserve">PAGE   \* MERGEFORMAT</w:instrText>
    </w:r>
    <w:r>
      <w:fldChar w:fldCharType="separate"/>
    </w:r>
    <w:r>
      <w:rPr>
        <w:lang w:val="zh-CN"/>
      </w:rPr>
      <w:t>21</w:t>
    </w:r>
    <w:r>
      <w:fldChar w:fldCharType="end"/>
    </w:r>
  </w:p>
  <w:p>
    <w:pPr>
      <w:pStyle w:val="3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tabs>
        <w:tab w:val="center" w:pos="4513"/>
        <w:tab w:val="clear" w:pos="4153"/>
      </w:tabs>
    </w:pPr>
    <w:r>
      <w:pict>
        <v:shape id="文本框 6"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w:r>
    <w:r>
      <w:rPr>
        <w:rFonts w:hint="eastAsia"/>
      </w:rPr>
      <w:t xml:space="preserve">                                          </w: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firstLine="720"/>
      <w:jc w:val="center"/>
    </w:pPr>
    <w:r>
      <w:fldChar w:fldCharType="begin"/>
    </w:r>
    <w:r>
      <w:instrText xml:space="preserve"> PAGE   \* MERGEFORMAT </w:instrText>
    </w:r>
    <w:r>
      <w:fldChar w:fldCharType="separate"/>
    </w:r>
    <w:r>
      <w:rPr>
        <w:lang w:val="zh-CN"/>
      </w:rPr>
      <w:t>50</w:t>
    </w:r>
    <w:r>
      <w:rPr>
        <w:lang w:val="zh-CN"/>
      </w:rPr>
      <w:fldChar w:fldCharType="end"/>
    </w:r>
  </w:p>
  <w:p>
    <w:pPr>
      <w:pStyle w:val="3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sz w:val="21"/>
      </w:rPr>
    </w:pPr>
    <w:r>
      <w:fldChar w:fldCharType="begin"/>
    </w:r>
    <w:r>
      <w:instrText xml:space="preserve"> PAGE   \* MERGEFORMAT </w:instrText>
    </w:r>
    <w:r>
      <w:fldChar w:fldCharType="separate"/>
    </w:r>
    <w:r>
      <w:rPr>
        <w:lang w:val="zh-CN"/>
      </w:rPr>
      <w:t>48</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rFonts w:ascii="宋体" w:hAnsi="宋体" w:cs="宋体"/>
        <w:szCs w:val="18"/>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rFonts w:ascii="宋体" w:hAnsi="宋体" w:cs="宋体"/>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rFonts w:ascii="宋体" w:hAnsi="宋体" w:cs="宋体"/>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rPr>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ind w:left="7110" w:hanging="7110" w:hangingChars="395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ind w:left="7110" w:hanging="7110" w:hangingChars="3950"/>
      <w:jc w:val="left"/>
    </w:pPr>
    <w:r>
      <w:rPr>
        <w:rFonts w:hint="eastAsia" w:ascii="宋体" w:hAnsi="宋体" w:cs="宋体"/>
        <w:szCs w:val="1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jc w:val="left"/>
      <w:rPr>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DDB84E"/>
    <w:multiLevelType w:val="singleLevel"/>
    <w:tmpl w:val="DADDB84E"/>
    <w:lvl w:ilvl="0" w:tentative="0">
      <w:start w:val="2"/>
      <w:numFmt w:val="chineseCounting"/>
      <w:suff w:val="nothing"/>
      <w:lvlText w:val="%1、"/>
      <w:lvlJc w:val="left"/>
      <w:rPr>
        <w:rFonts w:hint="eastAsia"/>
      </w:rPr>
    </w:lvl>
  </w:abstractNum>
  <w:abstractNum w:abstractNumId="1">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10F3077"/>
    <w:multiLevelType w:val="singleLevel"/>
    <w:tmpl w:val="010F3077"/>
    <w:lvl w:ilvl="0" w:tentative="0">
      <w:start w:val="7"/>
      <w:numFmt w:val="chineseCounting"/>
      <w:suff w:val="nothing"/>
      <w:lvlText w:val="%1、"/>
      <w:lvlJc w:val="left"/>
      <w:pPr>
        <w:ind w:left="-178"/>
      </w:pPr>
      <w:rPr>
        <w:rFonts w:hint="eastAsia"/>
      </w:rPr>
    </w:lvl>
  </w:abstractNum>
  <w:abstractNum w:abstractNumId="3">
    <w:nsid w:val="28F4F87E"/>
    <w:multiLevelType w:val="singleLevel"/>
    <w:tmpl w:val="28F4F87E"/>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0C43"/>
    <w:rsid w:val="000009CA"/>
    <w:rsid w:val="00002AB0"/>
    <w:rsid w:val="000041A6"/>
    <w:rsid w:val="0000508D"/>
    <w:rsid w:val="0000531D"/>
    <w:rsid w:val="00007A09"/>
    <w:rsid w:val="000101C0"/>
    <w:rsid w:val="0001114A"/>
    <w:rsid w:val="00015437"/>
    <w:rsid w:val="00015733"/>
    <w:rsid w:val="0001685F"/>
    <w:rsid w:val="00016EED"/>
    <w:rsid w:val="000176A0"/>
    <w:rsid w:val="00021EAF"/>
    <w:rsid w:val="0002256A"/>
    <w:rsid w:val="00024ED4"/>
    <w:rsid w:val="00027BE4"/>
    <w:rsid w:val="00032313"/>
    <w:rsid w:val="0003726C"/>
    <w:rsid w:val="0003798F"/>
    <w:rsid w:val="00041D3F"/>
    <w:rsid w:val="00042862"/>
    <w:rsid w:val="00042CB0"/>
    <w:rsid w:val="00045F30"/>
    <w:rsid w:val="00045F89"/>
    <w:rsid w:val="0004678C"/>
    <w:rsid w:val="00051DEE"/>
    <w:rsid w:val="00051EB0"/>
    <w:rsid w:val="00053F16"/>
    <w:rsid w:val="00054755"/>
    <w:rsid w:val="000549CE"/>
    <w:rsid w:val="00054E7C"/>
    <w:rsid w:val="000553D5"/>
    <w:rsid w:val="00055C94"/>
    <w:rsid w:val="00055DE4"/>
    <w:rsid w:val="00061C92"/>
    <w:rsid w:val="000631CA"/>
    <w:rsid w:val="0006342A"/>
    <w:rsid w:val="000647C6"/>
    <w:rsid w:val="0006507C"/>
    <w:rsid w:val="00066438"/>
    <w:rsid w:val="000673D9"/>
    <w:rsid w:val="00067E68"/>
    <w:rsid w:val="000704E7"/>
    <w:rsid w:val="000720C0"/>
    <w:rsid w:val="0007355F"/>
    <w:rsid w:val="0007357B"/>
    <w:rsid w:val="00075693"/>
    <w:rsid w:val="00075C81"/>
    <w:rsid w:val="00076002"/>
    <w:rsid w:val="00081A3B"/>
    <w:rsid w:val="0008246F"/>
    <w:rsid w:val="00083309"/>
    <w:rsid w:val="000872BA"/>
    <w:rsid w:val="000915F1"/>
    <w:rsid w:val="000918B0"/>
    <w:rsid w:val="0009581E"/>
    <w:rsid w:val="000971FA"/>
    <w:rsid w:val="000A11D5"/>
    <w:rsid w:val="000A2FBA"/>
    <w:rsid w:val="000A4274"/>
    <w:rsid w:val="000A4E55"/>
    <w:rsid w:val="000A5B28"/>
    <w:rsid w:val="000A686E"/>
    <w:rsid w:val="000A740B"/>
    <w:rsid w:val="000B0949"/>
    <w:rsid w:val="000B0952"/>
    <w:rsid w:val="000B19C1"/>
    <w:rsid w:val="000B229B"/>
    <w:rsid w:val="000B442B"/>
    <w:rsid w:val="000C0AAA"/>
    <w:rsid w:val="000C0BC9"/>
    <w:rsid w:val="000C2E30"/>
    <w:rsid w:val="000C4F48"/>
    <w:rsid w:val="000D0D8C"/>
    <w:rsid w:val="000D11A8"/>
    <w:rsid w:val="000D4FCA"/>
    <w:rsid w:val="000D5DDF"/>
    <w:rsid w:val="000D5EAA"/>
    <w:rsid w:val="000D755C"/>
    <w:rsid w:val="000E1958"/>
    <w:rsid w:val="000E6192"/>
    <w:rsid w:val="000F0468"/>
    <w:rsid w:val="000F0CAA"/>
    <w:rsid w:val="000F2686"/>
    <w:rsid w:val="000F28E2"/>
    <w:rsid w:val="000F4391"/>
    <w:rsid w:val="000F4F48"/>
    <w:rsid w:val="000F6CE3"/>
    <w:rsid w:val="000F7A77"/>
    <w:rsid w:val="0010094D"/>
    <w:rsid w:val="00103672"/>
    <w:rsid w:val="0010373C"/>
    <w:rsid w:val="00105A3D"/>
    <w:rsid w:val="0010673B"/>
    <w:rsid w:val="00106767"/>
    <w:rsid w:val="00110B85"/>
    <w:rsid w:val="00111559"/>
    <w:rsid w:val="001122AF"/>
    <w:rsid w:val="001138F7"/>
    <w:rsid w:val="00114CC2"/>
    <w:rsid w:val="001153D1"/>
    <w:rsid w:val="001155F5"/>
    <w:rsid w:val="00115A01"/>
    <w:rsid w:val="00115D74"/>
    <w:rsid w:val="001214D5"/>
    <w:rsid w:val="00122471"/>
    <w:rsid w:val="00122F3A"/>
    <w:rsid w:val="00122F69"/>
    <w:rsid w:val="00125366"/>
    <w:rsid w:val="001270F1"/>
    <w:rsid w:val="00130A97"/>
    <w:rsid w:val="0013214C"/>
    <w:rsid w:val="00132B5D"/>
    <w:rsid w:val="00134166"/>
    <w:rsid w:val="00137F29"/>
    <w:rsid w:val="00140590"/>
    <w:rsid w:val="00144D84"/>
    <w:rsid w:val="00150727"/>
    <w:rsid w:val="00150E6B"/>
    <w:rsid w:val="00152809"/>
    <w:rsid w:val="00152EDA"/>
    <w:rsid w:val="001538BD"/>
    <w:rsid w:val="00155456"/>
    <w:rsid w:val="0015638B"/>
    <w:rsid w:val="0015641D"/>
    <w:rsid w:val="00157B71"/>
    <w:rsid w:val="001647ED"/>
    <w:rsid w:val="00170C20"/>
    <w:rsid w:val="00170C43"/>
    <w:rsid w:val="00172077"/>
    <w:rsid w:val="001723DF"/>
    <w:rsid w:val="00172A33"/>
    <w:rsid w:val="00172C13"/>
    <w:rsid w:val="001739EE"/>
    <w:rsid w:val="00173D50"/>
    <w:rsid w:val="001743A7"/>
    <w:rsid w:val="001744F0"/>
    <w:rsid w:val="0017526E"/>
    <w:rsid w:val="00175B30"/>
    <w:rsid w:val="00175DE1"/>
    <w:rsid w:val="0018282E"/>
    <w:rsid w:val="00182DA4"/>
    <w:rsid w:val="00183AFE"/>
    <w:rsid w:val="00183FF6"/>
    <w:rsid w:val="00184214"/>
    <w:rsid w:val="001845A4"/>
    <w:rsid w:val="001857EA"/>
    <w:rsid w:val="001860F0"/>
    <w:rsid w:val="00192302"/>
    <w:rsid w:val="00193F20"/>
    <w:rsid w:val="00195F65"/>
    <w:rsid w:val="001961FE"/>
    <w:rsid w:val="00196AF0"/>
    <w:rsid w:val="001A2591"/>
    <w:rsid w:val="001A306B"/>
    <w:rsid w:val="001A3935"/>
    <w:rsid w:val="001A551D"/>
    <w:rsid w:val="001A649D"/>
    <w:rsid w:val="001A703C"/>
    <w:rsid w:val="001B32BD"/>
    <w:rsid w:val="001B416D"/>
    <w:rsid w:val="001B4813"/>
    <w:rsid w:val="001B618D"/>
    <w:rsid w:val="001B61AF"/>
    <w:rsid w:val="001C2F68"/>
    <w:rsid w:val="001C3900"/>
    <w:rsid w:val="001C3986"/>
    <w:rsid w:val="001C40ED"/>
    <w:rsid w:val="001C6F61"/>
    <w:rsid w:val="001D0B1F"/>
    <w:rsid w:val="001D0B7A"/>
    <w:rsid w:val="001D67B1"/>
    <w:rsid w:val="001D699D"/>
    <w:rsid w:val="001D75FB"/>
    <w:rsid w:val="001E007B"/>
    <w:rsid w:val="001E068C"/>
    <w:rsid w:val="001E65F6"/>
    <w:rsid w:val="001E6A63"/>
    <w:rsid w:val="001F1867"/>
    <w:rsid w:val="001F1CF6"/>
    <w:rsid w:val="001F230E"/>
    <w:rsid w:val="001F2C41"/>
    <w:rsid w:val="001F31D9"/>
    <w:rsid w:val="001F4AF4"/>
    <w:rsid w:val="001F4EA8"/>
    <w:rsid w:val="001F67FD"/>
    <w:rsid w:val="001F69A6"/>
    <w:rsid w:val="0020078B"/>
    <w:rsid w:val="0020295E"/>
    <w:rsid w:val="0020472D"/>
    <w:rsid w:val="00205582"/>
    <w:rsid w:val="00206B15"/>
    <w:rsid w:val="00207CB5"/>
    <w:rsid w:val="002103D1"/>
    <w:rsid w:val="002106BF"/>
    <w:rsid w:val="00211830"/>
    <w:rsid w:val="00213795"/>
    <w:rsid w:val="00213D91"/>
    <w:rsid w:val="0021464F"/>
    <w:rsid w:val="0021492B"/>
    <w:rsid w:val="00217169"/>
    <w:rsid w:val="00220635"/>
    <w:rsid w:val="0022083E"/>
    <w:rsid w:val="002213F9"/>
    <w:rsid w:val="00223CFB"/>
    <w:rsid w:val="00223D51"/>
    <w:rsid w:val="0022588D"/>
    <w:rsid w:val="00225D75"/>
    <w:rsid w:val="00226D83"/>
    <w:rsid w:val="00227962"/>
    <w:rsid w:val="00230D8E"/>
    <w:rsid w:val="0023288B"/>
    <w:rsid w:val="002349E7"/>
    <w:rsid w:val="00235C8B"/>
    <w:rsid w:val="0023778F"/>
    <w:rsid w:val="00237837"/>
    <w:rsid w:val="00240622"/>
    <w:rsid w:val="0024244F"/>
    <w:rsid w:val="00243BA6"/>
    <w:rsid w:val="0024503B"/>
    <w:rsid w:val="002454E6"/>
    <w:rsid w:val="00245855"/>
    <w:rsid w:val="002459FB"/>
    <w:rsid w:val="00246412"/>
    <w:rsid w:val="00246F0A"/>
    <w:rsid w:val="00246F87"/>
    <w:rsid w:val="00250881"/>
    <w:rsid w:val="00251A0F"/>
    <w:rsid w:val="002528C5"/>
    <w:rsid w:val="00256BB3"/>
    <w:rsid w:val="00257155"/>
    <w:rsid w:val="002572C7"/>
    <w:rsid w:val="00257626"/>
    <w:rsid w:val="002577A6"/>
    <w:rsid w:val="002578C5"/>
    <w:rsid w:val="00257E27"/>
    <w:rsid w:val="002623FE"/>
    <w:rsid w:val="00263AAA"/>
    <w:rsid w:val="00263FC3"/>
    <w:rsid w:val="002657D2"/>
    <w:rsid w:val="002666F6"/>
    <w:rsid w:val="00267313"/>
    <w:rsid w:val="002673C7"/>
    <w:rsid w:val="002674DB"/>
    <w:rsid w:val="00267FF1"/>
    <w:rsid w:val="002730E2"/>
    <w:rsid w:val="0027350C"/>
    <w:rsid w:val="00273846"/>
    <w:rsid w:val="00273870"/>
    <w:rsid w:val="00274397"/>
    <w:rsid w:val="002773BA"/>
    <w:rsid w:val="00277BA4"/>
    <w:rsid w:val="0028197C"/>
    <w:rsid w:val="002867B7"/>
    <w:rsid w:val="00290052"/>
    <w:rsid w:val="00290900"/>
    <w:rsid w:val="00293F17"/>
    <w:rsid w:val="002975E8"/>
    <w:rsid w:val="002A18D6"/>
    <w:rsid w:val="002A1F9A"/>
    <w:rsid w:val="002A2C06"/>
    <w:rsid w:val="002A3B99"/>
    <w:rsid w:val="002A55B3"/>
    <w:rsid w:val="002A5E63"/>
    <w:rsid w:val="002A77C5"/>
    <w:rsid w:val="002B1A1D"/>
    <w:rsid w:val="002B3591"/>
    <w:rsid w:val="002C0384"/>
    <w:rsid w:val="002C04B1"/>
    <w:rsid w:val="002C5150"/>
    <w:rsid w:val="002D1A3D"/>
    <w:rsid w:val="002D34B9"/>
    <w:rsid w:val="002D4A34"/>
    <w:rsid w:val="002D4AD2"/>
    <w:rsid w:val="002D6248"/>
    <w:rsid w:val="002D6B41"/>
    <w:rsid w:val="002D7977"/>
    <w:rsid w:val="002E1F42"/>
    <w:rsid w:val="002E266B"/>
    <w:rsid w:val="002E2709"/>
    <w:rsid w:val="002E47A7"/>
    <w:rsid w:val="002E4E1D"/>
    <w:rsid w:val="002E5EE1"/>
    <w:rsid w:val="002E6043"/>
    <w:rsid w:val="002E7941"/>
    <w:rsid w:val="002F1B22"/>
    <w:rsid w:val="002F4291"/>
    <w:rsid w:val="002F4672"/>
    <w:rsid w:val="002F5756"/>
    <w:rsid w:val="002F5D0C"/>
    <w:rsid w:val="002F602E"/>
    <w:rsid w:val="003005D6"/>
    <w:rsid w:val="0030182D"/>
    <w:rsid w:val="00301851"/>
    <w:rsid w:val="00303CA5"/>
    <w:rsid w:val="0030506F"/>
    <w:rsid w:val="00307D1F"/>
    <w:rsid w:val="00311EA0"/>
    <w:rsid w:val="00313198"/>
    <w:rsid w:val="003148A3"/>
    <w:rsid w:val="00314C6E"/>
    <w:rsid w:val="003155F2"/>
    <w:rsid w:val="00316700"/>
    <w:rsid w:val="0031796E"/>
    <w:rsid w:val="0032081E"/>
    <w:rsid w:val="003218E6"/>
    <w:rsid w:val="00322418"/>
    <w:rsid w:val="003237C6"/>
    <w:rsid w:val="00324583"/>
    <w:rsid w:val="003274BD"/>
    <w:rsid w:val="0033052B"/>
    <w:rsid w:val="0033472D"/>
    <w:rsid w:val="00335CEA"/>
    <w:rsid w:val="003377C1"/>
    <w:rsid w:val="00340D4C"/>
    <w:rsid w:val="00342FEC"/>
    <w:rsid w:val="00344308"/>
    <w:rsid w:val="00344449"/>
    <w:rsid w:val="00345CA7"/>
    <w:rsid w:val="00346E7B"/>
    <w:rsid w:val="003474B4"/>
    <w:rsid w:val="00351689"/>
    <w:rsid w:val="00351894"/>
    <w:rsid w:val="003519F2"/>
    <w:rsid w:val="003528AE"/>
    <w:rsid w:val="00352E9B"/>
    <w:rsid w:val="00353325"/>
    <w:rsid w:val="003537C0"/>
    <w:rsid w:val="00354631"/>
    <w:rsid w:val="00354923"/>
    <w:rsid w:val="003576D1"/>
    <w:rsid w:val="0036058F"/>
    <w:rsid w:val="00362EBC"/>
    <w:rsid w:val="00364EB2"/>
    <w:rsid w:val="00367A13"/>
    <w:rsid w:val="00370F20"/>
    <w:rsid w:val="00371268"/>
    <w:rsid w:val="003719CE"/>
    <w:rsid w:val="00373D0F"/>
    <w:rsid w:val="00375690"/>
    <w:rsid w:val="00381410"/>
    <w:rsid w:val="0038220F"/>
    <w:rsid w:val="00382BB1"/>
    <w:rsid w:val="00385F97"/>
    <w:rsid w:val="00386831"/>
    <w:rsid w:val="00386C06"/>
    <w:rsid w:val="00395B49"/>
    <w:rsid w:val="00397A43"/>
    <w:rsid w:val="003A3E32"/>
    <w:rsid w:val="003A5390"/>
    <w:rsid w:val="003A5E72"/>
    <w:rsid w:val="003A7C78"/>
    <w:rsid w:val="003B107A"/>
    <w:rsid w:val="003B297F"/>
    <w:rsid w:val="003B3CF1"/>
    <w:rsid w:val="003B4197"/>
    <w:rsid w:val="003B457F"/>
    <w:rsid w:val="003B4AD8"/>
    <w:rsid w:val="003B6021"/>
    <w:rsid w:val="003B632A"/>
    <w:rsid w:val="003B65D4"/>
    <w:rsid w:val="003C0A7B"/>
    <w:rsid w:val="003C5436"/>
    <w:rsid w:val="003C670F"/>
    <w:rsid w:val="003C6FA1"/>
    <w:rsid w:val="003C79B2"/>
    <w:rsid w:val="003D70F1"/>
    <w:rsid w:val="003D75B7"/>
    <w:rsid w:val="003E024F"/>
    <w:rsid w:val="003E070F"/>
    <w:rsid w:val="003E07F5"/>
    <w:rsid w:val="003E3BF2"/>
    <w:rsid w:val="003E41DE"/>
    <w:rsid w:val="003E42AE"/>
    <w:rsid w:val="003E4FE3"/>
    <w:rsid w:val="003E518C"/>
    <w:rsid w:val="003E78B2"/>
    <w:rsid w:val="003F03FF"/>
    <w:rsid w:val="003F0DD2"/>
    <w:rsid w:val="003F331F"/>
    <w:rsid w:val="003F3383"/>
    <w:rsid w:val="003F395F"/>
    <w:rsid w:val="003F3DAA"/>
    <w:rsid w:val="003F6AEB"/>
    <w:rsid w:val="003F7600"/>
    <w:rsid w:val="004006A4"/>
    <w:rsid w:val="004008D5"/>
    <w:rsid w:val="0040323D"/>
    <w:rsid w:val="00403606"/>
    <w:rsid w:val="0040423E"/>
    <w:rsid w:val="004048C5"/>
    <w:rsid w:val="0040501E"/>
    <w:rsid w:val="0040536A"/>
    <w:rsid w:val="004053DC"/>
    <w:rsid w:val="004065EE"/>
    <w:rsid w:val="00406773"/>
    <w:rsid w:val="00406911"/>
    <w:rsid w:val="00406FDC"/>
    <w:rsid w:val="00410AA7"/>
    <w:rsid w:val="004127DB"/>
    <w:rsid w:val="00416606"/>
    <w:rsid w:val="004227D8"/>
    <w:rsid w:val="00424754"/>
    <w:rsid w:val="0042687C"/>
    <w:rsid w:val="00426C60"/>
    <w:rsid w:val="00430634"/>
    <w:rsid w:val="004323B7"/>
    <w:rsid w:val="0043451E"/>
    <w:rsid w:val="00434FB7"/>
    <w:rsid w:val="004377EC"/>
    <w:rsid w:val="00440013"/>
    <w:rsid w:val="00442DA6"/>
    <w:rsid w:val="00443402"/>
    <w:rsid w:val="00450989"/>
    <w:rsid w:val="00452396"/>
    <w:rsid w:val="0045336C"/>
    <w:rsid w:val="00454D28"/>
    <w:rsid w:val="00454D62"/>
    <w:rsid w:val="004565E4"/>
    <w:rsid w:val="00456E6E"/>
    <w:rsid w:val="004570B5"/>
    <w:rsid w:val="00457F1D"/>
    <w:rsid w:val="0046002F"/>
    <w:rsid w:val="004646B3"/>
    <w:rsid w:val="00467140"/>
    <w:rsid w:val="00472C6C"/>
    <w:rsid w:val="0048155F"/>
    <w:rsid w:val="00485A40"/>
    <w:rsid w:val="00485A70"/>
    <w:rsid w:val="00485C2C"/>
    <w:rsid w:val="0048791F"/>
    <w:rsid w:val="004902BB"/>
    <w:rsid w:val="0049051A"/>
    <w:rsid w:val="00492102"/>
    <w:rsid w:val="00492A22"/>
    <w:rsid w:val="00492B60"/>
    <w:rsid w:val="0049341E"/>
    <w:rsid w:val="004934C4"/>
    <w:rsid w:val="00493834"/>
    <w:rsid w:val="00493D56"/>
    <w:rsid w:val="0049418D"/>
    <w:rsid w:val="00494433"/>
    <w:rsid w:val="00494F94"/>
    <w:rsid w:val="004953F9"/>
    <w:rsid w:val="00495A4D"/>
    <w:rsid w:val="00497017"/>
    <w:rsid w:val="00497269"/>
    <w:rsid w:val="004A334D"/>
    <w:rsid w:val="004A471D"/>
    <w:rsid w:val="004A501D"/>
    <w:rsid w:val="004A66E4"/>
    <w:rsid w:val="004B16D4"/>
    <w:rsid w:val="004B1C65"/>
    <w:rsid w:val="004B1E72"/>
    <w:rsid w:val="004B2708"/>
    <w:rsid w:val="004B39A2"/>
    <w:rsid w:val="004B40F7"/>
    <w:rsid w:val="004B6697"/>
    <w:rsid w:val="004B6734"/>
    <w:rsid w:val="004B7259"/>
    <w:rsid w:val="004B7481"/>
    <w:rsid w:val="004B75CC"/>
    <w:rsid w:val="004C11FC"/>
    <w:rsid w:val="004C3D34"/>
    <w:rsid w:val="004C4747"/>
    <w:rsid w:val="004C4A0E"/>
    <w:rsid w:val="004C5792"/>
    <w:rsid w:val="004C58D3"/>
    <w:rsid w:val="004C63D1"/>
    <w:rsid w:val="004C64AD"/>
    <w:rsid w:val="004D0B05"/>
    <w:rsid w:val="004D4E22"/>
    <w:rsid w:val="004D5788"/>
    <w:rsid w:val="004D5E41"/>
    <w:rsid w:val="004D6915"/>
    <w:rsid w:val="004D6B1F"/>
    <w:rsid w:val="004D7FAA"/>
    <w:rsid w:val="004E1918"/>
    <w:rsid w:val="004E6697"/>
    <w:rsid w:val="004F35A1"/>
    <w:rsid w:val="004F5A47"/>
    <w:rsid w:val="004F70B4"/>
    <w:rsid w:val="00500464"/>
    <w:rsid w:val="00501287"/>
    <w:rsid w:val="005013F1"/>
    <w:rsid w:val="005025B4"/>
    <w:rsid w:val="005045E9"/>
    <w:rsid w:val="00505D82"/>
    <w:rsid w:val="005076A7"/>
    <w:rsid w:val="00511414"/>
    <w:rsid w:val="005124EA"/>
    <w:rsid w:val="005124EE"/>
    <w:rsid w:val="0051376F"/>
    <w:rsid w:val="005143A5"/>
    <w:rsid w:val="00515D3C"/>
    <w:rsid w:val="0051605A"/>
    <w:rsid w:val="0051700C"/>
    <w:rsid w:val="005208E9"/>
    <w:rsid w:val="005213BF"/>
    <w:rsid w:val="00522469"/>
    <w:rsid w:val="00522E4B"/>
    <w:rsid w:val="005237C2"/>
    <w:rsid w:val="0052408A"/>
    <w:rsid w:val="005242C9"/>
    <w:rsid w:val="005247E5"/>
    <w:rsid w:val="00525931"/>
    <w:rsid w:val="00531E92"/>
    <w:rsid w:val="00531F77"/>
    <w:rsid w:val="00532870"/>
    <w:rsid w:val="00534832"/>
    <w:rsid w:val="00536A83"/>
    <w:rsid w:val="00537192"/>
    <w:rsid w:val="00537CB7"/>
    <w:rsid w:val="0054147E"/>
    <w:rsid w:val="00542257"/>
    <w:rsid w:val="00542B7F"/>
    <w:rsid w:val="00542BB1"/>
    <w:rsid w:val="0054423A"/>
    <w:rsid w:val="00544257"/>
    <w:rsid w:val="00547480"/>
    <w:rsid w:val="0055013F"/>
    <w:rsid w:val="00550288"/>
    <w:rsid w:val="00552558"/>
    <w:rsid w:val="005538A9"/>
    <w:rsid w:val="005548EB"/>
    <w:rsid w:val="00556005"/>
    <w:rsid w:val="00557B18"/>
    <w:rsid w:val="005609B8"/>
    <w:rsid w:val="00560FB1"/>
    <w:rsid w:val="00564B23"/>
    <w:rsid w:val="0056795E"/>
    <w:rsid w:val="00570741"/>
    <w:rsid w:val="00574D0B"/>
    <w:rsid w:val="005754FA"/>
    <w:rsid w:val="00575688"/>
    <w:rsid w:val="005774B8"/>
    <w:rsid w:val="00577F3F"/>
    <w:rsid w:val="00580B99"/>
    <w:rsid w:val="0058111A"/>
    <w:rsid w:val="005814DA"/>
    <w:rsid w:val="00581568"/>
    <w:rsid w:val="00582998"/>
    <w:rsid w:val="00583B34"/>
    <w:rsid w:val="00584AC0"/>
    <w:rsid w:val="0058550B"/>
    <w:rsid w:val="00586760"/>
    <w:rsid w:val="00587AC3"/>
    <w:rsid w:val="00590B3B"/>
    <w:rsid w:val="00592019"/>
    <w:rsid w:val="00595512"/>
    <w:rsid w:val="005A06E2"/>
    <w:rsid w:val="005A072B"/>
    <w:rsid w:val="005A39FB"/>
    <w:rsid w:val="005A3A51"/>
    <w:rsid w:val="005A4814"/>
    <w:rsid w:val="005A5AEC"/>
    <w:rsid w:val="005B08F1"/>
    <w:rsid w:val="005B195D"/>
    <w:rsid w:val="005B45A6"/>
    <w:rsid w:val="005B58EE"/>
    <w:rsid w:val="005B6184"/>
    <w:rsid w:val="005B74E8"/>
    <w:rsid w:val="005B7516"/>
    <w:rsid w:val="005C3A6F"/>
    <w:rsid w:val="005C4DD7"/>
    <w:rsid w:val="005C5D01"/>
    <w:rsid w:val="005C6389"/>
    <w:rsid w:val="005D309E"/>
    <w:rsid w:val="005D4796"/>
    <w:rsid w:val="005E783A"/>
    <w:rsid w:val="005F1C1D"/>
    <w:rsid w:val="005F300B"/>
    <w:rsid w:val="005F318A"/>
    <w:rsid w:val="005F340E"/>
    <w:rsid w:val="006000B4"/>
    <w:rsid w:val="006040FF"/>
    <w:rsid w:val="00606314"/>
    <w:rsid w:val="006066EE"/>
    <w:rsid w:val="00606E32"/>
    <w:rsid w:val="006120AE"/>
    <w:rsid w:val="006130C0"/>
    <w:rsid w:val="0061384A"/>
    <w:rsid w:val="0061439E"/>
    <w:rsid w:val="006144F6"/>
    <w:rsid w:val="00615292"/>
    <w:rsid w:val="00617869"/>
    <w:rsid w:val="00620EDC"/>
    <w:rsid w:val="006231F8"/>
    <w:rsid w:val="00623278"/>
    <w:rsid w:val="00623E09"/>
    <w:rsid w:val="00624223"/>
    <w:rsid w:val="00627963"/>
    <w:rsid w:val="0063047C"/>
    <w:rsid w:val="00630DD1"/>
    <w:rsid w:val="00631020"/>
    <w:rsid w:val="006313FC"/>
    <w:rsid w:val="006316A9"/>
    <w:rsid w:val="00631BD0"/>
    <w:rsid w:val="00632ECF"/>
    <w:rsid w:val="006351BE"/>
    <w:rsid w:val="0064104C"/>
    <w:rsid w:val="00641BDD"/>
    <w:rsid w:val="00641FE7"/>
    <w:rsid w:val="00642CC9"/>
    <w:rsid w:val="00643941"/>
    <w:rsid w:val="00644AA0"/>
    <w:rsid w:val="006453A3"/>
    <w:rsid w:val="00647D9D"/>
    <w:rsid w:val="006540DB"/>
    <w:rsid w:val="0065696F"/>
    <w:rsid w:val="00657935"/>
    <w:rsid w:val="0066026A"/>
    <w:rsid w:val="006614DA"/>
    <w:rsid w:val="006643C0"/>
    <w:rsid w:val="00666744"/>
    <w:rsid w:val="00666806"/>
    <w:rsid w:val="00666D8E"/>
    <w:rsid w:val="00667153"/>
    <w:rsid w:val="006719A9"/>
    <w:rsid w:val="00671A84"/>
    <w:rsid w:val="0067308B"/>
    <w:rsid w:val="006767A4"/>
    <w:rsid w:val="00680B4D"/>
    <w:rsid w:val="00681E7F"/>
    <w:rsid w:val="0068239F"/>
    <w:rsid w:val="00682F9F"/>
    <w:rsid w:val="00683D38"/>
    <w:rsid w:val="0068553A"/>
    <w:rsid w:val="00690A7A"/>
    <w:rsid w:val="00690DD3"/>
    <w:rsid w:val="0069130D"/>
    <w:rsid w:val="00692855"/>
    <w:rsid w:val="00692CFB"/>
    <w:rsid w:val="00696018"/>
    <w:rsid w:val="006A0765"/>
    <w:rsid w:val="006A1830"/>
    <w:rsid w:val="006A2874"/>
    <w:rsid w:val="006A33EA"/>
    <w:rsid w:val="006A569F"/>
    <w:rsid w:val="006B154D"/>
    <w:rsid w:val="006B19A1"/>
    <w:rsid w:val="006B2AFC"/>
    <w:rsid w:val="006B2DF1"/>
    <w:rsid w:val="006B5165"/>
    <w:rsid w:val="006B59AE"/>
    <w:rsid w:val="006B73AF"/>
    <w:rsid w:val="006B79DA"/>
    <w:rsid w:val="006B7ADF"/>
    <w:rsid w:val="006C02BF"/>
    <w:rsid w:val="006C2B72"/>
    <w:rsid w:val="006C3449"/>
    <w:rsid w:val="006C3542"/>
    <w:rsid w:val="006C401B"/>
    <w:rsid w:val="006C47F4"/>
    <w:rsid w:val="006C4B89"/>
    <w:rsid w:val="006C4D80"/>
    <w:rsid w:val="006C5064"/>
    <w:rsid w:val="006C76A1"/>
    <w:rsid w:val="006C7BDA"/>
    <w:rsid w:val="006D03F3"/>
    <w:rsid w:val="006D0AC2"/>
    <w:rsid w:val="006D1493"/>
    <w:rsid w:val="006D2186"/>
    <w:rsid w:val="006D2297"/>
    <w:rsid w:val="006D39EE"/>
    <w:rsid w:val="006D4EF4"/>
    <w:rsid w:val="006D620E"/>
    <w:rsid w:val="006D694C"/>
    <w:rsid w:val="006D6BA7"/>
    <w:rsid w:val="006D77EE"/>
    <w:rsid w:val="006D7A9B"/>
    <w:rsid w:val="006D7E06"/>
    <w:rsid w:val="006E0401"/>
    <w:rsid w:val="006E0FC8"/>
    <w:rsid w:val="006E23BA"/>
    <w:rsid w:val="006E24FC"/>
    <w:rsid w:val="006E4258"/>
    <w:rsid w:val="006E5506"/>
    <w:rsid w:val="006E66A7"/>
    <w:rsid w:val="006E6C35"/>
    <w:rsid w:val="006E7DB7"/>
    <w:rsid w:val="006F2A5F"/>
    <w:rsid w:val="006F2DC4"/>
    <w:rsid w:val="006F3718"/>
    <w:rsid w:val="007004A5"/>
    <w:rsid w:val="007006AF"/>
    <w:rsid w:val="00701AF4"/>
    <w:rsid w:val="007038BF"/>
    <w:rsid w:val="00704AA6"/>
    <w:rsid w:val="00706176"/>
    <w:rsid w:val="00706A69"/>
    <w:rsid w:val="00711503"/>
    <w:rsid w:val="0071157F"/>
    <w:rsid w:val="007128FB"/>
    <w:rsid w:val="0071295D"/>
    <w:rsid w:val="00712DD0"/>
    <w:rsid w:val="00714B1E"/>
    <w:rsid w:val="00715FF0"/>
    <w:rsid w:val="00722905"/>
    <w:rsid w:val="00722C49"/>
    <w:rsid w:val="007233AF"/>
    <w:rsid w:val="00723DB7"/>
    <w:rsid w:val="0072543D"/>
    <w:rsid w:val="007261EF"/>
    <w:rsid w:val="00726490"/>
    <w:rsid w:val="00726CFD"/>
    <w:rsid w:val="00727B2B"/>
    <w:rsid w:val="00730BFD"/>
    <w:rsid w:val="007317B5"/>
    <w:rsid w:val="00732A3F"/>
    <w:rsid w:val="00732DF0"/>
    <w:rsid w:val="00732DFB"/>
    <w:rsid w:val="00736070"/>
    <w:rsid w:val="007363E3"/>
    <w:rsid w:val="007373E3"/>
    <w:rsid w:val="00737E38"/>
    <w:rsid w:val="00741A0E"/>
    <w:rsid w:val="00742F4C"/>
    <w:rsid w:val="00743435"/>
    <w:rsid w:val="00744457"/>
    <w:rsid w:val="00744A15"/>
    <w:rsid w:val="007452C0"/>
    <w:rsid w:val="00746362"/>
    <w:rsid w:val="007467C0"/>
    <w:rsid w:val="0074767F"/>
    <w:rsid w:val="00747FD0"/>
    <w:rsid w:val="007505A5"/>
    <w:rsid w:val="007517AB"/>
    <w:rsid w:val="00752767"/>
    <w:rsid w:val="00753369"/>
    <w:rsid w:val="00753A2D"/>
    <w:rsid w:val="00756267"/>
    <w:rsid w:val="0075636F"/>
    <w:rsid w:val="00756B80"/>
    <w:rsid w:val="00756E47"/>
    <w:rsid w:val="00763280"/>
    <w:rsid w:val="007657C6"/>
    <w:rsid w:val="00765A1F"/>
    <w:rsid w:val="00765BB3"/>
    <w:rsid w:val="00765E55"/>
    <w:rsid w:val="007668D5"/>
    <w:rsid w:val="0076759C"/>
    <w:rsid w:val="00767609"/>
    <w:rsid w:val="00767ACA"/>
    <w:rsid w:val="00770384"/>
    <w:rsid w:val="00771982"/>
    <w:rsid w:val="00771DE4"/>
    <w:rsid w:val="007731D1"/>
    <w:rsid w:val="007744C5"/>
    <w:rsid w:val="007766A6"/>
    <w:rsid w:val="00777558"/>
    <w:rsid w:val="00777C2B"/>
    <w:rsid w:val="00782539"/>
    <w:rsid w:val="00784DEC"/>
    <w:rsid w:val="00791766"/>
    <w:rsid w:val="0079386F"/>
    <w:rsid w:val="00793A0B"/>
    <w:rsid w:val="00795BB5"/>
    <w:rsid w:val="007A0391"/>
    <w:rsid w:val="007A3BAA"/>
    <w:rsid w:val="007A4A84"/>
    <w:rsid w:val="007A7CA9"/>
    <w:rsid w:val="007B0023"/>
    <w:rsid w:val="007B0073"/>
    <w:rsid w:val="007B356A"/>
    <w:rsid w:val="007B43EF"/>
    <w:rsid w:val="007B4C51"/>
    <w:rsid w:val="007B7657"/>
    <w:rsid w:val="007C30E4"/>
    <w:rsid w:val="007C4C5D"/>
    <w:rsid w:val="007C60F4"/>
    <w:rsid w:val="007C702E"/>
    <w:rsid w:val="007C7EC6"/>
    <w:rsid w:val="007D0A77"/>
    <w:rsid w:val="007D19C3"/>
    <w:rsid w:val="007D1EA4"/>
    <w:rsid w:val="007D3146"/>
    <w:rsid w:val="007D37A1"/>
    <w:rsid w:val="007D3D16"/>
    <w:rsid w:val="007D55BB"/>
    <w:rsid w:val="007D6613"/>
    <w:rsid w:val="007D6B59"/>
    <w:rsid w:val="007D770D"/>
    <w:rsid w:val="007E0DC0"/>
    <w:rsid w:val="007E1836"/>
    <w:rsid w:val="007E23A7"/>
    <w:rsid w:val="007E2D2C"/>
    <w:rsid w:val="007E51AE"/>
    <w:rsid w:val="007E7F3D"/>
    <w:rsid w:val="007F096F"/>
    <w:rsid w:val="007F15E5"/>
    <w:rsid w:val="007F2789"/>
    <w:rsid w:val="007F2BAE"/>
    <w:rsid w:val="007F3F1D"/>
    <w:rsid w:val="007F4632"/>
    <w:rsid w:val="007F4A8B"/>
    <w:rsid w:val="007F52FE"/>
    <w:rsid w:val="007F54CC"/>
    <w:rsid w:val="007F5B81"/>
    <w:rsid w:val="007F667C"/>
    <w:rsid w:val="00803C61"/>
    <w:rsid w:val="00804C77"/>
    <w:rsid w:val="00804FE2"/>
    <w:rsid w:val="008058AE"/>
    <w:rsid w:val="00810BDF"/>
    <w:rsid w:val="008115C9"/>
    <w:rsid w:val="00811E95"/>
    <w:rsid w:val="00812294"/>
    <w:rsid w:val="00812DA9"/>
    <w:rsid w:val="008137B2"/>
    <w:rsid w:val="00815EE1"/>
    <w:rsid w:val="00816646"/>
    <w:rsid w:val="00820802"/>
    <w:rsid w:val="00821CE1"/>
    <w:rsid w:val="00822498"/>
    <w:rsid w:val="00822B0D"/>
    <w:rsid w:val="0082442B"/>
    <w:rsid w:val="0082454A"/>
    <w:rsid w:val="008306BB"/>
    <w:rsid w:val="008326EA"/>
    <w:rsid w:val="00833086"/>
    <w:rsid w:val="00834B5B"/>
    <w:rsid w:val="008364B4"/>
    <w:rsid w:val="00842135"/>
    <w:rsid w:val="00843079"/>
    <w:rsid w:val="008459E1"/>
    <w:rsid w:val="008475A2"/>
    <w:rsid w:val="00847684"/>
    <w:rsid w:val="00850D92"/>
    <w:rsid w:val="00852AF5"/>
    <w:rsid w:val="00853F0C"/>
    <w:rsid w:val="008542D2"/>
    <w:rsid w:val="008551BF"/>
    <w:rsid w:val="0085763B"/>
    <w:rsid w:val="00862010"/>
    <w:rsid w:val="00862BC6"/>
    <w:rsid w:val="00862D97"/>
    <w:rsid w:val="00863DD6"/>
    <w:rsid w:val="0086487C"/>
    <w:rsid w:val="00864FB9"/>
    <w:rsid w:val="0087295A"/>
    <w:rsid w:val="0087594B"/>
    <w:rsid w:val="00876D3C"/>
    <w:rsid w:val="00877210"/>
    <w:rsid w:val="008777FB"/>
    <w:rsid w:val="0088191A"/>
    <w:rsid w:val="00882CC3"/>
    <w:rsid w:val="00883976"/>
    <w:rsid w:val="00884C5C"/>
    <w:rsid w:val="00885031"/>
    <w:rsid w:val="008905A9"/>
    <w:rsid w:val="008915B9"/>
    <w:rsid w:val="00894314"/>
    <w:rsid w:val="008A02CE"/>
    <w:rsid w:val="008A1044"/>
    <w:rsid w:val="008A3833"/>
    <w:rsid w:val="008A5F34"/>
    <w:rsid w:val="008A776D"/>
    <w:rsid w:val="008A7C7F"/>
    <w:rsid w:val="008B09D5"/>
    <w:rsid w:val="008B206D"/>
    <w:rsid w:val="008B3C26"/>
    <w:rsid w:val="008B474A"/>
    <w:rsid w:val="008B59A9"/>
    <w:rsid w:val="008B5A10"/>
    <w:rsid w:val="008B7637"/>
    <w:rsid w:val="008B77DE"/>
    <w:rsid w:val="008C0940"/>
    <w:rsid w:val="008C169B"/>
    <w:rsid w:val="008C6192"/>
    <w:rsid w:val="008C7DD4"/>
    <w:rsid w:val="008D05E9"/>
    <w:rsid w:val="008D2A25"/>
    <w:rsid w:val="008D2C3C"/>
    <w:rsid w:val="008D5698"/>
    <w:rsid w:val="008D636E"/>
    <w:rsid w:val="008D6524"/>
    <w:rsid w:val="008D6905"/>
    <w:rsid w:val="008E18C3"/>
    <w:rsid w:val="008E1E95"/>
    <w:rsid w:val="008E2012"/>
    <w:rsid w:val="008E4B24"/>
    <w:rsid w:val="008E70D5"/>
    <w:rsid w:val="008E7628"/>
    <w:rsid w:val="008E7E93"/>
    <w:rsid w:val="008F5E13"/>
    <w:rsid w:val="0090028B"/>
    <w:rsid w:val="00900651"/>
    <w:rsid w:val="00900816"/>
    <w:rsid w:val="00901C46"/>
    <w:rsid w:val="00901FE0"/>
    <w:rsid w:val="00905785"/>
    <w:rsid w:val="009057E1"/>
    <w:rsid w:val="00905E4B"/>
    <w:rsid w:val="009107C7"/>
    <w:rsid w:val="0091115C"/>
    <w:rsid w:val="009126EC"/>
    <w:rsid w:val="00912CEA"/>
    <w:rsid w:val="009174D2"/>
    <w:rsid w:val="00921D55"/>
    <w:rsid w:val="009225F8"/>
    <w:rsid w:val="009243CB"/>
    <w:rsid w:val="00924A3E"/>
    <w:rsid w:val="00927241"/>
    <w:rsid w:val="009277F9"/>
    <w:rsid w:val="009300BA"/>
    <w:rsid w:val="00931852"/>
    <w:rsid w:val="00931BC1"/>
    <w:rsid w:val="00932C1E"/>
    <w:rsid w:val="00933048"/>
    <w:rsid w:val="00935CAC"/>
    <w:rsid w:val="0093619F"/>
    <w:rsid w:val="00941220"/>
    <w:rsid w:val="00941438"/>
    <w:rsid w:val="00941470"/>
    <w:rsid w:val="00941823"/>
    <w:rsid w:val="00943744"/>
    <w:rsid w:val="009454A8"/>
    <w:rsid w:val="00945C86"/>
    <w:rsid w:val="0095062D"/>
    <w:rsid w:val="0095519B"/>
    <w:rsid w:val="0095534E"/>
    <w:rsid w:val="009555C2"/>
    <w:rsid w:val="00956B98"/>
    <w:rsid w:val="00961B6F"/>
    <w:rsid w:val="00961D3B"/>
    <w:rsid w:val="0096313D"/>
    <w:rsid w:val="00963D9E"/>
    <w:rsid w:val="00965D8B"/>
    <w:rsid w:val="00965FF6"/>
    <w:rsid w:val="009676FD"/>
    <w:rsid w:val="009730AB"/>
    <w:rsid w:val="00973AE9"/>
    <w:rsid w:val="00980E60"/>
    <w:rsid w:val="00981324"/>
    <w:rsid w:val="0098138A"/>
    <w:rsid w:val="0098141E"/>
    <w:rsid w:val="00983042"/>
    <w:rsid w:val="0098383D"/>
    <w:rsid w:val="00985C8D"/>
    <w:rsid w:val="00990C6A"/>
    <w:rsid w:val="0099178F"/>
    <w:rsid w:val="009918B3"/>
    <w:rsid w:val="00991DE5"/>
    <w:rsid w:val="00991FCC"/>
    <w:rsid w:val="0099254E"/>
    <w:rsid w:val="00992BB6"/>
    <w:rsid w:val="009949B7"/>
    <w:rsid w:val="0099659C"/>
    <w:rsid w:val="0099732F"/>
    <w:rsid w:val="00997927"/>
    <w:rsid w:val="00997ABA"/>
    <w:rsid w:val="00997B24"/>
    <w:rsid w:val="009A0378"/>
    <w:rsid w:val="009A0B4E"/>
    <w:rsid w:val="009A1166"/>
    <w:rsid w:val="009A2E9F"/>
    <w:rsid w:val="009A2F18"/>
    <w:rsid w:val="009A56D7"/>
    <w:rsid w:val="009B0A7F"/>
    <w:rsid w:val="009B0D10"/>
    <w:rsid w:val="009B18AF"/>
    <w:rsid w:val="009B2000"/>
    <w:rsid w:val="009B49E4"/>
    <w:rsid w:val="009B5933"/>
    <w:rsid w:val="009B5C5E"/>
    <w:rsid w:val="009B7870"/>
    <w:rsid w:val="009C0313"/>
    <w:rsid w:val="009C09C7"/>
    <w:rsid w:val="009C10F0"/>
    <w:rsid w:val="009C2743"/>
    <w:rsid w:val="009C49DD"/>
    <w:rsid w:val="009C549A"/>
    <w:rsid w:val="009C6610"/>
    <w:rsid w:val="009C70DF"/>
    <w:rsid w:val="009D0B2B"/>
    <w:rsid w:val="009D0E3B"/>
    <w:rsid w:val="009D1D49"/>
    <w:rsid w:val="009D22BA"/>
    <w:rsid w:val="009D3578"/>
    <w:rsid w:val="009D6B50"/>
    <w:rsid w:val="009D70DC"/>
    <w:rsid w:val="009D76EF"/>
    <w:rsid w:val="009E09AA"/>
    <w:rsid w:val="009E1192"/>
    <w:rsid w:val="009E1E3B"/>
    <w:rsid w:val="009E27AB"/>
    <w:rsid w:val="009E2BB6"/>
    <w:rsid w:val="009E30D2"/>
    <w:rsid w:val="009E4477"/>
    <w:rsid w:val="009E5054"/>
    <w:rsid w:val="009E6470"/>
    <w:rsid w:val="009E65EE"/>
    <w:rsid w:val="009F24F7"/>
    <w:rsid w:val="009F25A0"/>
    <w:rsid w:val="009F417B"/>
    <w:rsid w:val="009F5621"/>
    <w:rsid w:val="009F7FDD"/>
    <w:rsid w:val="00A000EA"/>
    <w:rsid w:val="00A00717"/>
    <w:rsid w:val="00A01514"/>
    <w:rsid w:val="00A045CE"/>
    <w:rsid w:val="00A05E34"/>
    <w:rsid w:val="00A06600"/>
    <w:rsid w:val="00A127B8"/>
    <w:rsid w:val="00A135DC"/>
    <w:rsid w:val="00A14F5B"/>
    <w:rsid w:val="00A15B9B"/>
    <w:rsid w:val="00A2015A"/>
    <w:rsid w:val="00A2527E"/>
    <w:rsid w:val="00A2620B"/>
    <w:rsid w:val="00A27FDE"/>
    <w:rsid w:val="00A30991"/>
    <w:rsid w:val="00A30AEF"/>
    <w:rsid w:val="00A3318E"/>
    <w:rsid w:val="00A33CCD"/>
    <w:rsid w:val="00A343D5"/>
    <w:rsid w:val="00A35DA3"/>
    <w:rsid w:val="00A3739D"/>
    <w:rsid w:val="00A4277A"/>
    <w:rsid w:val="00A42D35"/>
    <w:rsid w:val="00A43793"/>
    <w:rsid w:val="00A45293"/>
    <w:rsid w:val="00A458C8"/>
    <w:rsid w:val="00A46B17"/>
    <w:rsid w:val="00A47512"/>
    <w:rsid w:val="00A50D97"/>
    <w:rsid w:val="00A53622"/>
    <w:rsid w:val="00A570B7"/>
    <w:rsid w:val="00A57F41"/>
    <w:rsid w:val="00A60CD2"/>
    <w:rsid w:val="00A61F71"/>
    <w:rsid w:val="00A6346A"/>
    <w:rsid w:val="00A6555E"/>
    <w:rsid w:val="00A65DC2"/>
    <w:rsid w:val="00A6697E"/>
    <w:rsid w:val="00A731AC"/>
    <w:rsid w:val="00A731D5"/>
    <w:rsid w:val="00A73DAC"/>
    <w:rsid w:val="00A76D8D"/>
    <w:rsid w:val="00A83A32"/>
    <w:rsid w:val="00A84539"/>
    <w:rsid w:val="00A8487E"/>
    <w:rsid w:val="00A8631D"/>
    <w:rsid w:val="00A870B9"/>
    <w:rsid w:val="00A877FC"/>
    <w:rsid w:val="00A879DD"/>
    <w:rsid w:val="00A928A9"/>
    <w:rsid w:val="00A94E08"/>
    <w:rsid w:val="00A9519E"/>
    <w:rsid w:val="00A952FB"/>
    <w:rsid w:val="00A97559"/>
    <w:rsid w:val="00AA1EEA"/>
    <w:rsid w:val="00AA2C1D"/>
    <w:rsid w:val="00AA4A5F"/>
    <w:rsid w:val="00AA5143"/>
    <w:rsid w:val="00AB223D"/>
    <w:rsid w:val="00AB22D5"/>
    <w:rsid w:val="00AB3898"/>
    <w:rsid w:val="00AB607E"/>
    <w:rsid w:val="00AB7549"/>
    <w:rsid w:val="00AB756D"/>
    <w:rsid w:val="00AC1385"/>
    <w:rsid w:val="00AC338D"/>
    <w:rsid w:val="00AC3CD5"/>
    <w:rsid w:val="00AC4BB5"/>
    <w:rsid w:val="00AC5C2D"/>
    <w:rsid w:val="00AC6ED7"/>
    <w:rsid w:val="00AC71FD"/>
    <w:rsid w:val="00AC76AF"/>
    <w:rsid w:val="00AD0012"/>
    <w:rsid w:val="00AD082C"/>
    <w:rsid w:val="00AD1627"/>
    <w:rsid w:val="00AD23A1"/>
    <w:rsid w:val="00AD24D7"/>
    <w:rsid w:val="00AD618E"/>
    <w:rsid w:val="00AD7DF5"/>
    <w:rsid w:val="00AE0050"/>
    <w:rsid w:val="00AE05ED"/>
    <w:rsid w:val="00AE0A9A"/>
    <w:rsid w:val="00AE0D70"/>
    <w:rsid w:val="00AE1FB1"/>
    <w:rsid w:val="00AE278B"/>
    <w:rsid w:val="00AE286F"/>
    <w:rsid w:val="00AE2899"/>
    <w:rsid w:val="00AE2A70"/>
    <w:rsid w:val="00AE5797"/>
    <w:rsid w:val="00AE5CF5"/>
    <w:rsid w:val="00AE5EA9"/>
    <w:rsid w:val="00AE7C37"/>
    <w:rsid w:val="00AF1175"/>
    <w:rsid w:val="00AF1B22"/>
    <w:rsid w:val="00AF3CB5"/>
    <w:rsid w:val="00AF60E9"/>
    <w:rsid w:val="00AF73B7"/>
    <w:rsid w:val="00B00C4D"/>
    <w:rsid w:val="00B01DE9"/>
    <w:rsid w:val="00B05E52"/>
    <w:rsid w:val="00B1035C"/>
    <w:rsid w:val="00B10F92"/>
    <w:rsid w:val="00B11605"/>
    <w:rsid w:val="00B1339A"/>
    <w:rsid w:val="00B14FA2"/>
    <w:rsid w:val="00B15CCC"/>
    <w:rsid w:val="00B175D1"/>
    <w:rsid w:val="00B200C5"/>
    <w:rsid w:val="00B20A03"/>
    <w:rsid w:val="00B220B6"/>
    <w:rsid w:val="00B2327C"/>
    <w:rsid w:val="00B24FCC"/>
    <w:rsid w:val="00B278E6"/>
    <w:rsid w:val="00B27E4A"/>
    <w:rsid w:val="00B30823"/>
    <w:rsid w:val="00B3135A"/>
    <w:rsid w:val="00B32D02"/>
    <w:rsid w:val="00B346A1"/>
    <w:rsid w:val="00B37714"/>
    <w:rsid w:val="00B4024E"/>
    <w:rsid w:val="00B41001"/>
    <w:rsid w:val="00B41032"/>
    <w:rsid w:val="00B41AC1"/>
    <w:rsid w:val="00B42DAF"/>
    <w:rsid w:val="00B42DF6"/>
    <w:rsid w:val="00B44988"/>
    <w:rsid w:val="00B44B4C"/>
    <w:rsid w:val="00B47696"/>
    <w:rsid w:val="00B50D03"/>
    <w:rsid w:val="00B528E6"/>
    <w:rsid w:val="00B53221"/>
    <w:rsid w:val="00B560E3"/>
    <w:rsid w:val="00B60644"/>
    <w:rsid w:val="00B60E56"/>
    <w:rsid w:val="00B6147A"/>
    <w:rsid w:val="00B62123"/>
    <w:rsid w:val="00B62A3F"/>
    <w:rsid w:val="00B6437E"/>
    <w:rsid w:val="00B649EB"/>
    <w:rsid w:val="00B65B5F"/>
    <w:rsid w:val="00B66130"/>
    <w:rsid w:val="00B66920"/>
    <w:rsid w:val="00B6694D"/>
    <w:rsid w:val="00B67E27"/>
    <w:rsid w:val="00B73080"/>
    <w:rsid w:val="00B737E4"/>
    <w:rsid w:val="00B73F43"/>
    <w:rsid w:val="00B76714"/>
    <w:rsid w:val="00B77A2B"/>
    <w:rsid w:val="00B84EB4"/>
    <w:rsid w:val="00B8518D"/>
    <w:rsid w:val="00B86237"/>
    <w:rsid w:val="00B86DB9"/>
    <w:rsid w:val="00B90EAE"/>
    <w:rsid w:val="00B92A04"/>
    <w:rsid w:val="00B972C3"/>
    <w:rsid w:val="00BA1A59"/>
    <w:rsid w:val="00BA30A4"/>
    <w:rsid w:val="00BA564E"/>
    <w:rsid w:val="00BB00A5"/>
    <w:rsid w:val="00BB0977"/>
    <w:rsid w:val="00BB0CAB"/>
    <w:rsid w:val="00BB134C"/>
    <w:rsid w:val="00BB1628"/>
    <w:rsid w:val="00BB2880"/>
    <w:rsid w:val="00BB2F6D"/>
    <w:rsid w:val="00BB4922"/>
    <w:rsid w:val="00BB70C9"/>
    <w:rsid w:val="00BC0950"/>
    <w:rsid w:val="00BC36FC"/>
    <w:rsid w:val="00BC3E66"/>
    <w:rsid w:val="00BC3EE4"/>
    <w:rsid w:val="00BC45C8"/>
    <w:rsid w:val="00BC50C6"/>
    <w:rsid w:val="00BD0D24"/>
    <w:rsid w:val="00BD12F2"/>
    <w:rsid w:val="00BD1E5F"/>
    <w:rsid w:val="00BD267E"/>
    <w:rsid w:val="00BD391A"/>
    <w:rsid w:val="00BD552B"/>
    <w:rsid w:val="00BD5E52"/>
    <w:rsid w:val="00BD75BE"/>
    <w:rsid w:val="00BE274F"/>
    <w:rsid w:val="00BE6446"/>
    <w:rsid w:val="00BE6F33"/>
    <w:rsid w:val="00BE7337"/>
    <w:rsid w:val="00BF0186"/>
    <w:rsid w:val="00BF0F42"/>
    <w:rsid w:val="00BF1057"/>
    <w:rsid w:val="00BF19C1"/>
    <w:rsid w:val="00BF4216"/>
    <w:rsid w:val="00BF422E"/>
    <w:rsid w:val="00BF58AE"/>
    <w:rsid w:val="00BF6C9E"/>
    <w:rsid w:val="00BF6CBB"/>
    <w:rsid w:val="00BF6D93"/>
    <w:rsid w:val="00BF704E"/>
    <w:rsid w:val="00C00600"/>
    <w:rsid w:val="00C0382D"/>
    <w:rsid w:val="00C048E4"/>
    <w:rsid w:val="00C05B4C"/>
    <w:rsid w:val="00C05D55"/>
    <w:rsid w:val="00C06B83"/>
    <w:rsid w:val="00C073D6"/>
    <w:rsid w:val="00C079F4"/>
    <w:rsid w:val="00C10165"/>
    <w:rsid w:val="00C10BEE"/>
    <w:rsid w:val="00C121CB"/>
    <w:rsid w:val="00C129E6"/>
    <w:rsid w:val="00C13790"/>
    <w:rsid w:val="00C13FC8"/>
    <w:rsid w:val="00C15E31"/>
    <w:rsid w:val="00C15E52"/>
    <w:rsid w:val="00C16AEB"/>
    <w:rsid w:val="00C16F02"/>
    <w:rsid w:val="00C172F9"/>
    <w:rsid w:val="00C178A1"/>
    <w:rsid w:val="00C21F72"/>
    <w:rsid w:val="00C22128"/>
    <w:rsid w:val="00C25A87"/>
    <w:rsid w:val="00C273F6"/>
    <w:rsid w:val="00C279A2"/>
    <w:rsid w:val="00C30394"/>
    <w:rsid w:val="00C325A0"/>
    <w:rsid w:val="00C3337D"/>
    <w:rsid w:val="00C33BBE"/>
    <w:rsid w:val="00C34162"/>
    <w:rsid w:val="00C343B2"/>
    <w:rsid w:val="00C343D9"/>
    <w:rsid w:val="00C36A27"/>
    <w:rsid w:val="00C37525"/>
    <w:rsid w:val="00C40C6F"/>
    <w:rsid w:val="00C41F02"/>
    <w:rsid w:val="00C4233B"/>
    <w:rsid w:val="00C4280D"/>
    <w:rsid w:val="00C428EC"/>
    <w:rsid w:val="00C44658"/>
    <w:rsid w:val="00C465FF"/>
    <w:rsid w:val="00C46810"/>
    <w:rsid w:val="00C47701"/>
    <w:rsid w:val="00C5069B"/>
    <w:rsid w:val="00C519C6"/>
    <w:rsid w:val="00C53F13"/>
    <w:rsid w:val="00C57A04"/>
    <w:rsid w:val="00C57AB7"/>
    <w:rsid w:val="00C57BA2"/>
    <w:rsid w:val="00C57C95"/>
    <w:rsid w:val="00C62C41"/>
    <w:rsid w:val="00C6512E"/>
    <w:rsid w:val="00C65AFE"/>
    <w:rsid w:val="00C65CA3"/>
    <w:rsid w:val="00C65E3C"/>
    <w:rsid w:val="00C66578"/>
    <w:rsid w:val="00C665D7"/>
    <w:rsid w:val="00C67566"/>
    <w:rsid w:val="00C67DCB"/>
    <w:rsid w:val="00C71A77"/>
    <w:rsid w:val="00C7568C"/>
    <w:rsid w:val="00C76E66"/>
    <w:rsid w:val="00C7761D"/>
    <w:rsid w:val="00C7799C"/>
    <w:rsid w:val="00C80341"/>
    <w:rsid w:val="00C83263"/>
    <w:rsid w:val="00C832AA"/>
    <w:rsid w:val="00C85603"/>
    <w:rsid w:val="00C86433"/>
    <w:rsid w:val="00C86836"/>
    <w:rsid w:val="00C87C3B"/>
    <w:rsid w:val="00C922ED"/>
    <w:rsid w:val="00C9265B"/>
    <w:rsid w:val="00C93790"/>
    <w:rsid w:val="00C93DF2"/>
    <w:rsid w:val="00C93EC3"/>
    <w:rsid w:val="00C9510F"/>
    <w:rsid w:val="00C97A3B"/>
    <w:rsid w:val="00CA1148"/>
    <w:rsid w:val="00CA3639"/>
    <w:rsid w:val="00CA4C15"/>
    <w:rsid w:val="00CA6372"/>
    <w:rsid w:val="00CA63A5"/>
    <w:rsid w:val="00CB1120"/>
    <w:rsid w:val="00CB4486"/>
    <w:rsid w:val="00CB50C9"/>
    <w:rsid w:val="00CC2C2E"/>
    <w:rsid w:val="00CC2EBC"/>
    <w:rsid w:val="00CC32BC"/>
    <w:rsid w:val="00CC5448"/>
    <w:rsid w:val="00CC56BA"/>
    <w:rsid w:val="00CC636E"/>
    <w:rsid w:val="00CC66ED"/>
    <w:rsid w:val="00CC7286"/>
    <w:rsid w:val="00CC7FFA"/>
    <w:rsid w:val="00CD3019"/>
    <w:rsid w:val="00CD551F"/>
    <w:rsid w:val="00CD747F"/>
    <w:rsid w:val="00CD74FB"/>
    <w:rsid w:val="00CD796F"/>
    <w:rsid w:val="00CD7B55"/>
    <w:rsid w:val="00CE1168"/>
    <w:rsid w:val="00CE7004"/>
    <w:rsid w:val="00CE736C"/>
    <w:rsid w:val="00CE7533"/>
    <w:rsid w:val="00CF2746"/>
    <w:rsid w:val="00CF3A62"/>
    <w:rsid w:val="00CF6CB1"/>
    <w:rsid w:val="00D0174F"/>
    <w:rsid w:val="00D02B82"/>
    <w:rsid w:val="00D049B0"/>
    <w:rsid w:val="00D10310"/>
    <w:rsid w:val="00D128FA"/>
    <w:rsid w:val="00D16858"/>
    <w:rsid w:val="00D2058F"/>
    <w:rsid w:val="00D2094C"/>
    <w:rsid w:val="00D20B97"/>
    <w:rsid w:val="00D20BE3"/>
    <w:rsid w:val="00D241F0"/>
    <w:rsid w:val="00D255EA"/>
    <w:rsid w:val="00D2689B"/>
    <w:rsid w:val="00D278E7"/>
    <w:rsid w:val="00D27EC1"/>
    <w:rsid w:val="00D303EE"/>
    <w:rsid w:val="00D30EF2"/>
    <w:rsid w:val="00D32C4D"/>
    <w:rsid w:val="00D36851"/>
    <w:rsid w:val="00D40694"/>
    <w:rsid w:val="00D40CDA"/>
    <w:rsid w:val="00D4257A"/>
    <w:rsid w:val="00D43651"/>
    <w:rsid w:val="00D45398"/>
    <w:rsid w:val="00D455C0"/>
    <w:rsid w:val="00D46823"/>
    <w:rsid w:val="00D46BA1"/>
    <w:rsid w:val="00D5002D"/>
    <w:rsid w:val="00D5061B"/>
    <w:rsid w:val="00D5089C"/>
    <w:rsid w:val="00D50C98"/>
    <w:rsid w:val="00D50E0B"/>
    <w:rsid w:val="00D51BA7"/>
    <w:rsid w:val="00D52699"/>
    <w:rsid w:val="00D52D2F"/>
    <w:rsid w:val="00D5322E"/>
    <w:rsid w:val="00D53DF5"/>
    <w:rsid w:val="00D563CB"/>
    <w:rsid w:val="00D578A4"/>
    <w:rsid w:val="00D60037"/>
    <w:rsid w:val="00D60C1D"/>
    <w:rsid w:val="00D62594"/>
    <w:rsid w:val="00D63E02"/>
    <w:rsid w:val="00D70B23"/>
    <w:rsid w:val="00D71A73"/>
    <w:rsid w:val="00D73473"/>
    <w:rsid w:val="00D73752"/>
    <w:rsid w:val="00D7378D"/>
    <w:rsid w:val="00D75598"/>
    <w:rsid w:val="00D75B48"/>
    <w:rsid w:val="00D75F24"/>
    <w:rsid w:val="00D76E75"/>
    <w:rsid w:val="00D81F39"/>
    <w:rsid w:val="00D85966"/>
    <w:rsid w:val="00D85D57"/>
    <w:rsid w:val="00D916A8"/>
    <w:rsid w:val="00D9195A"/>
    <w:rsid w:val="00D9463A"/>
    <w:rsid w:val="00D94E11"/>
    <w:rsid w:val="00DA112D"/>
    <w:rsid w:val="00DA1C3A"/>
    <w:rsid w:val="00DA239A"/>
    <w:rsid w:val="00DA303F"/>
    <w:rsid w:val="00DA45F9"/>
    <w:rsid w:val="00DA6C8C"/>
    <w:rsid w:val="00DB2BA6"/>
    <w:rsid w:val="00DB393C"/>
    <w:rsid w:val="00DB4550"/>
    <w:rsid w:val="00DB5EC2"/>
    <w:rsid w:val="00DB6B6F"/>
    <w:rsid w:val="00DB7CE8"/>
    <w:rsid w:val="00DC2879"/>
    <w:rsid w:val="00DC2A67"/>
    <w:rsid w:val="00DC5387"/>
    <w:rsid w:val="00DD160B"/>
    <w:rsid w:val="00DD211C"/>
    <w:rsid w:val="00DD2C0F"/>
    <w:rsid w:val="00DD2C38"/>
    <w:rsid w:val="00DD4972"/>
    <w:rsid w:val="00DE0FEF"/>
    <w:rsid w:val="00DE1DCB"/>
    <w:rsid w:val="00DE25EC"/>
    <w:rsid w:val="00DE3B79"/>
    <w:rsid w:val="00DE4BAD"/>
    <w:rsid w:val="00DE5B02"/>
    <w:rsid w:val="00DE61D0"/>
    <w:rsid w:val="00DE7F59"/>
    <w:rsid w:val="00DF160B"/>
    <w:rsid w:val="00DF23F9"/>
    <w:rsid w:val="00DF3827"/>
    <w:rsid w:val="00DF6DCD"/>
    <w:rsid w:val="00DF7A6E"/>
    <w:rsid w:val="00E02808"/>
    <w:rsid w:val="00E037AE"/>
    <w:rsid w:val="00E0719D"/>
    <w:rsid w:val="00E071BA"/>
    <w:rsid w:val="00E07BEE"/>
    <w:rsid w:val="00E12737"/>
    <w:rsid w:val="00E1411D"/>
    <w:rsid w:val="00E171C5"/>
    <w:rsid w:val="00E17FC6"/>
    <w:rsid w:val="00E2160B"/>
    <w:rsid w:val="00E23CB0"/>
    <w:rsid w:val="00E25C78"/>
    <w:rsid w:val="00E31019"/>
    <w:rsid w:val="00E345F2"/>
    <w:rsid w:val="00E34884"/>
    <w:rsid w:val="00E37588"/>
    <w:rsid w:val="00E41725"/>
    <w:rsid w:val="00E425AB"/>
    <w:rsid w:val="00E429BD"/>
    <w:rsid w:val="00E42F36"/>
    <w:rsid w:val="00E443D6"/>
    <w:rsid w:val="00E44F60"/>
    <w:rsid w:val="00E451BE"/>
    <w:rsid w:val="00E453A5"/>
    <w:rsid w:val="00E473D9"/>
    <w:rsid w:val="00E47B05"/>
    <w:rsid w:val="00E50F94"/>
    <w:rsid w:val="00E530C9"/>
    <w:rsid w:val="00E53382"/>
    <w:rsid w:val="00E55F5F"/>
    <w:rsid w:val="00E56975"/>
    <w:rsid w:val="00E6094E"/>
    <w:rsid w:val="00E64991"/>
    <w:rsid w:val="00E65E64"/>
    <w:rsid w:val="00E67603"/>
    <w:rsid w:val="00E67960"/>
    <w:rsid w:val="00E67D47"/>
    <w:rsid w:val="00E67FB6"/>
    <w:rsid w:val="00E706AF"/>
    <w:rsid w:val="00E707D8"/>
    <w:rsid w:val="00E7122D"/>
    <w:rsid w:val="00E71FD1"/>
    <w:rsid w:val="00E72443"/>
    <w:rsid w:val="00E74351"/>
    <w:rsid w:val="00E75B0D"/>
    <w:rsid w:val="00E76462"/>
    <w:rsid w:val="00E76932"/>
    <w:rsid w:val="00E81D46"/>
    <w:rsid w:val="00E82A54"/>
    <w:rsid w:val="00E82DD4"/>
    <w:rsid w:val="00E85E4A"/>
    <w:rsid w:val="00E924A8"/>
    <w:rsid w:val="00E941CF"/>
    <w:rsid w:val="00EA273A"/>
    <w:rsid w:val="00EA5217"/>
    <w:rsid w:val="00EA557C"/>
    <w:rsid w:val="00EA7899"/>
    <w:rsid w:val="00EB00FF"/>
    <w:rsid w:val="00EB0932"/>
    <w:rsid w:val="00EB0972"/>
    <w:rsid w:val="00EB1B59"/>
    <w:rsid w:val="00EB2773"/>
    <w:rsid w:val="00EB5A36"/>
    <w:rsid w:val="00EB7CC7"/>
    <w:rsid w:val="00EC0C4E"/>
    <w:rsid w:val="00EC0F74"/>
    <w:rsid w:val="00EC395D"/>
    <w:rsid w:val="00EC40D2"/>
    <w:rsid w:val="00EC4971"/>
    <w:rsid w:val="00EC5A78"/>
    <w:rsid w:val="00ED16EA"/>
    <w:rsid w:val="00ED3139"/>
    <w:rsid w:val="00ED3EC9"/>
    <w:rsid w:val="00ED6A07"/>
    <w:rsid w:val="00ED770B"/>
    <w:rsid w:val="00EE1B12"/>
    <w:rsid w:val="00EE30E3"/>
    <w:rsid w:val="00EE333C"/>
    <w:rsid w:val="00EE3C03"/>
    <w:rsid w:val="00EE4487"/>
    <w:rsid w:val="00EE52C3"/>
    <w:rsid w:val="00EF0BC3"/>
    <w:rsid w:val="00EF13F3"/>
    <w:rsid w:val="00EF18AA"/>
    <w:rsid w:val="00EF285A"/>
    <w:rsid w:val="00EF4286"/>
    <w:rsid w:val="00EF4D4B"/>
    <w:rsid w:val="00EF67E7"/>
    <w:rsid w:val="00F01BAF"/>
    <w:rsid w:val="00F02496"/>
    <w:rsid w:val="00F035D7"/>
    <w:rsid w:val="00F04A39"/>
    <w:rsid w:val="00F0541B"/>
    <w:rsid w:val="00F0551B"/>
    <w:rsid w:val="00F07554"/>
    <w:rsid w:val="00F07C4B"/>
    <w:rsid w:val="00F12BA6"/>
    <w:rsid w:val="00F12F93"/>
    <w:rsid w:val="00F13A82"/>
    <w:rsid w:val="00F20125"/>
    <w:rsid w:val="00F20BA1"/>
    <w:rsid w:val="00F2346C"/>
    <w:rsid w:val="00F23E86"/>
    <w:rsid w:val="00F25B74"/>
    <w:rsid w:val="00F26E95"/>
    <w:rsid w:val="00F2741E"/>
    <w:rsid w:val="00F27949"/>
    <w:rsid w:val="00F27AFE"/>
    <w:rsid w:val="00F30631"/>
    <w:rsid w:val="00F30897"/>
    <w:rsid w:val="00F343B2"/>
    <w:rsid w:val="00F349B7"/>
    <w:rsid w:val="00F34E52"/>
    <w:rsid w:val="00F40418"/>
    <w:rsid w:val="00F40AF8"/>
    <w:rsid w:val="00F414B4"/>
    <w:rsid w:val="00F440BB"/>
    <w:rsid w:val="00F440CE"/>
    <w:rsid w:val="00F4505A"/>
    <w:rsid w:val="00F45B60"/>
    <w:rsid w:val="00F46229"/>
    <w:rsid w:val="00F462DB"/>
    <w:rsid w:val="00F47E48"/>
    <w:rsid w:val="00F5032F"/>
    <w:rsid w:val="00F50C2D"/>
    <w:rsid w:val="00F51FBE"/>
    <w:rsid w:val="00F526D0"/>
    <w:rsid w:val="00F54C91"/>
    <w:rsid w:val="00F5512D"/>
    <w:rsid w:val="00F55B74"/>
    <w:rsid w:val="00F56D3B"/>
    <w:rsid w:val="00F56FB1"/>
    <w:rsid w:val="00F64E8A"/>
    <w:rsid w:val="00F651BD"/>
    <w:rsid w:val="00F67496"/>
    <w:rsid w:val="00F67B84"/>
    <w:rsid w:val="00F7017C"/>
    <w:rsid w:val="00F706B2"/>
    <w:rsid w:val="00F70A64"/>
    <w:rsid w:val="00F72637"/>
    <w:rsid w:val="00F7336F"/>
    <w:rsid w:val="00F73E1F"/>
    <w:rsid w:val="00F74CA5"/>
    <w:rsid w:val="00F75E81"/>
    <w:rsid w:val="00F7796D"/>
    <w:rsid w:val="00F77AB6"/>
    <w:rsid w:val="00F81EE6"/>
    <w:rsid w:val="00F82C92"/>
    <w:rsid w:val="00F846E5"/>
    <w:rsid w:val="00F84B14"/>
    <w:rsid w:val="00F84B37"/>
    <w:rsid w:val="00F84E5A"/>
    <w:rsid w:val="00F86110"/>
    <w:rsid w:val="00F863CE"/>
    <w:rsid w:val="00F868AB"/>
    <w:rsid w:val="00F90C5A"/>
    <w:rsid w:val="00F91107"/>
    <w:rsid w:val="00F929FE"/>
    <w:rsid w:val="00F95861"/>
    <w:rsid w:val="00FA0B24"/>
    <w:rsid w:val="00FA3C4F"/>
    <w:rsid w:val="00FA43AA"/>
    <w:rsid w:val="00FA51CB"/>
    <w:rsid w:val="00FA574E"/>
    <w:rsid w:val="00FA74DD"/>
    <w:rsid w:val="00FA759E"/>
    <w:rsid w:val="00FB075B"/>
    <w:rsid w:val="00FB07A6"/>
    <w:rsid w:val="00FB3213"/>
    <w:rsid w:val="00FB4886"/>
    <w:rsid w:val="00FB6272"/>
    <w:rsid w:val="00FC049B"/>
    <w:rsid w:val="00FC0B72"/>
    <w:rsid w:val="00FC12FE"/>
    <w:rsid w:val="00FC282D"/>
    <w:rsid w:val="00FC2856"/>
    <w:rsid w:val="00FC459F"/>
    <w:rsid w:val="00FC54B4"/>
    <w:rsid w:val="00FC6499"/>
    <w:rsid w:val="00FC6A65"/>
    <w:rsid w:val="00FD00A0"/>
    <w:rsid w:val="00FD1DEE"/>
    <w:rsid w:val="00FD26B2"/>
    <w:rsid w:val="00FD2858"/>
    <w:rsid w:val="00FD36CF"/>
    <w:rsid w:val="00FD4DBF"/>
    <w:rsid w:val="00FD4E07"/>
    <w:rsid w:val="00FD4E0C"/>
    <w:rsid w:val="00FD64FE"/>
    <w:rsid w:val="00FD6817"/>
    <w:rsid w:val="00FD71F3"/>
    <w:rsid w:val="00FD7860"/>
    <w:rsid w:val="00FD7ECE"/>
    <w:rsid w:val="00FE027B"/>
    <w:rsid w:val="00FE0667"/>
    <w:rsid w:val="00FE108B"/>
    <w:rsid w:val="00FE51F3"/>
    <w:rsid w:val="00FE5BB9"/>
    <w:rsid w:val="00FE7168"/>
    <w:rsid w:val="00FF1A91"/>
    <w:rsid w:val="00FF3635"/>
    <w:rsid w:val="0275160C"/>
    <w:rsid w:val="0766078B"/>
    <w:rsid w:val="12D33B58"/>
    <w:rsid w:val="1B18100A"/>
    <w:rsid w:val="1B72054B"/>
    <w:rsid w:val="1E7A1C1E"/>
    <w:rsid w:val="212066B5"/>
    <w:rsid w:val="268A187A"/>
    <w:rsid w:val="2D4F205B"/>
    <w:rsid w:val="3963158B"/>
    <w:rsid w:val="3A9B42B8"/>
    <w:rsid w:val="3FC377D2"/>
    <w:rsid w:val="4ADF69AC"/>
    <w:rsid w:val="4EA450F1"/>
    <w:rsid w:val="512616AD"/>
    <w:rsid w:val="54AF6910"/>
    <w:rsid w:val="56EB43DF"/>
    <w:rsid w:val="57602F65"/>
    <w:rsid w:val="592016CD"/>
    <w:rsid w:val="598707C6"/>
    <w:rsid w:val="59DF7B7E"/>
    <w:rsid w:val="5B2904DB"/>
    <w:rsid w:val="5E4626B7"/>
    <w:rsid w:val="5F7450DF"/>
    <w:rsid w:val="656A7ED2"/>
    <w:rsid w:val="69957712"/>
    <w:rsid w:val="7CAB4D28"/>
    <w:rsid w:val="7CD9381A"/>
    <w:rsid w:val="7CE00FA1"/>
    <w:rsid w:val="7E65716A"/>
    <w:rsid w:val="7E904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127"/>
    <w:qFormat/>
    <w:uiPriority w:val="0"/>
    <w:pPr>
      <w:keepNext/>
      <w:keepLines/>
      <w:adjustRightInd w:val="0"/>
      <w:spacing w:before="340" w:after="330" w:line="578" w:lineRule="atLeast"/>
      <w:jc w:val="center"/>
      <w:textAlignment w:val="baseline"/>
      <w:outlineLvl w:val="0"/>
    </w:pPr>
    <w:rPr>
      <w:b/>
      <w:kern w:val="44"/>
      <w:sz w:val="20"/>
    </w:rPr>
  </w:style>
  <w:style w:type="paragraph" w:styleId="5">
    <w:name w:val="heading 2"/>
    <w:basedOn w:val="1"/>
    <w:next w:val="1"/>
    <w:link w:val="7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6">
    <w:name w:val="heading 3"/>
    <w:basedOn w:val="1"/>
    <w:next w:val="1"/>
    <w:link w:val="85"/>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7">
    <w:name w:val="heading 4"/>
    <w:basedOn w:val="1"/>
    <w:next w:val="1"/>
    <w:link w:val="108"/>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8">
    <w:name w:val="heading 5"/>
    <w:basedOn w:val="1"/>
    <w:next w:val="1"/>
    <w:link w:val="58"/>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9">
    <w:name w:val="heading 6"/>
    <w:basedOn w:val="1"/>
    <w:next w:val="1"/>
    <w:link w:val="62"/>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0">
    <w:name w:val="heading 7"/>
    <w:basedOn w:val="1"/>
    <w:next w:val="1"/>
    <w:link w:val="76"/>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1">
    <w:name w:val="heading 8"/>
    <w:basedOn w:val="1"/>
    <w:next w:val="1"/>
    <w:link w:val="8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2">
    <w:name w:val="heading 9"/>
    <w:basedOn w:val="1"/>
    <w:next w:val="1"/>
    <w:link w:val="110"/>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 w:val="2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widowControl w:val="0"/>
      <w:overflowPunct/>
      <w:autoSpaceDE/>
      <w:autoSpaceDN/>
      <w:adjustRightInd/>
      <w:spacing w:line="240" w:lineRule="auto"/>
      <w:ind w:firstLine="420" w:firstLineChars="200"/>
      <w:textAlignment w:val="auto"/>
    </w:pPr>
    <w:rPr>
      <w:rFonts w:ascii="宋体" w:cs="Times New Roman"/>
      <w:color w:val="000000"/>
      <w:sz w:val="20"/>
      <w:szCs w:val="24"/>
    </w:rPr>
  </w:style>
  <w:style w:type="paragraph" w:styleId="3">
    <w:name w:val="Body Text Indent"/>
    <w:basedOn w:val="1"/>
    <w:link w:val="117"/>
    <w:qFormat/>
    <w:uiPriority w:val="0"/>
    <w:pPr>
      <w:spacing w:line="360" w:lineRule="auto"/>
      <w:ind w:left="540" w:leftChars="257" w:firstLine="360" w:firstLineChars="150"/>
    </w:pPr>
    <w:rPr>
      <w:kern w:val="0"/>
      <w:sz w:val="20"/>
    </w:rPr>
  </w:style>
  <w:style w:type="paragraph" w:styleId="13">
    <w:name w:val="toc 7"/>
    <w:basedOn w:val="1"/>
    <w:next w:val="1"/>
    <w:qFormat/>
    <w:uiPriority w:val="0"/>
    <w:pPr>
      <w:ind w:left="2520"/>
    </w:pPr>
  </w:style>
  <w:style w:type="paragraph" w:styleId="14">
    <w:name w:val="index 8"/>
    <w:basedOn w:val="1"/>
    <w:next w:val="1"/>
    <w:qFormat/>
    <w:uiPriority w:val="0"/>
    <w:pPr>
      <w:ind w:left="2940"/>
    </w:pPr>
  </w:style>
  <w:style w:type="paragraph" w:styleId="15">
    <w:name w:val="Normal Indent"/>
    <w:basedOn w:val="1"/>
    <w:qFormat/>
    <w:uiPriority w:val="0"/>
    <w:pPr>
      <w:ind w:firstLine="420"/>
    </w:pPr>
  </w:style>
  <w:style w:type="paragraph" w:styleId="16">
    <w:name w:val="index 5"/>
    <w:basedOn w:val="1"/>
    <w:next w:val="1"/>
    <w:qFormat/>
    <w:uiPriority w:val="0"/>
    <w:pPr>
      <w:ind w:left="1680"/>
    </w:pPr>
  </w:style>
  <w:style w:type="paragraph" w:styleId="17">
    <w:name w:val="Document Map"/>
    <w:basedOn w:val="1"/>
    <w:link w:val="109"/>
    <w:qFormat/>
    <w:uiPriority w:val="0"/>
    <w:pPr>
      <w:shd w:val="clear" w:color="auto" w:fill="000080"/>
    </w:pPr>
    <w:rPr>
      <w:kern w:val="0"/>
      <w:sz w:val="20"/>
    </w:rPr>
  </w:style>
  <w:style w:type="paragraph" w:styleId="18">
    <w:name w:val="annotation text"/>
    <w:basedOn w:val="1"/>
    <w:link w:val="115"/>
    <w:unhideWhenUsed/>
    <w:qFormat/>
    <w:uiPriority w:val="99"/>
    <w:pPr>
      <w:jc w:val="left"/>
    </w:pPr>
    <w:rPr>
      <w:kern w:val="0"/>
      <w:sz w:val="20"/>
    </w:rPr>
  </w:style>
  <w:style w:type="paragraph" w:styleId="19">
    <w:name w:val="index 6"/>
    <w:basedOn w:val="1"/>
    <w:next w:val="1"/>
    <w:qFormat/>
    <w:uiPriority w:val="0"/>
    <w:pPr>
      <w:ind w:left="2100"/>
    </w:pPr>
  </w:style>
  <w:style w:type="paragraph" w:styleId="20">
    <w:name w:val="Body Text"/>
    <w:basedOn w:val="1"/>
    <w:link w:val="71"/>
    <w:qFormat/>
    <w:uiPriority w:val="0"/>
    <w:pPr>
      <w:spacing w:line="360" w:lineRule="auto"/>
    </w:pPr>
    <w:rPr>
      <w:kern w:val="0"/>
      <w:sz w:val="20"/>
    </w:rPr>
  </w:style>
  <w:style w:type="paragraph" w:styleId="21">
    <w:name w:val="index 4"/>
    <w:basedOn w:val="1"/>
    <w:next w:val="1"/>
    <w:qFormat/>
    <w:uiPriority w:val="0"/>
    <w:pPr>
      <w:ind w:left="1260"/>
    </w:pPr>
  </w:style>
  <w:style w:type="paragraph" w:styleId="22">
    <w:name w:val="toc 5"/>
    <w:basedOn w:val="1"/>
    <w:next w:val="1"/>
    <w:qFormat/>
    <w:uiPriority w:val="0"/>
    <w:pPr>
      <w:ind w:left="1680"/>
    </w:pPr>
  </w:style>
  <w:style w:type="paragraph" w:styleId="23">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4">
    <w:name w:val="Plain Text"/>
    <w:basedOn w:val="1"/>
    <w:link w:val="119"/>
    <w:qFormat/>
    <w:uiPriority w:val="0"/>
    <w:pPr>
      <w:adjustRightInd w:val="0"/>
      <w:spacing w:line="312" w:lineRule="atLeast"/>
      <w:textAlignment w:val="baseline"/>
    </w:pPr>
    <w:rPr>
      <w:rFonts w:ascii="宋体" w:hAnsi="Courier New"/>
      <w:kern w:val="0"/>
      <w:sz w:val="20"/>
    </w:rPr>
  </w:style>
  <w:style w:type="paragraph" w:styleId="25">
    <w:name w:val="toc 8"/>
    <w:basedOn w:val="1"/>
    <w:next w:val="1"/>
    <w:qFormat/>
    <w:uiPriority w:val="0"/>
    <w:pPr>
      <w:ind w:left="2940"/>
    </w:pPr>
  </w:style>
  <w:style w:type="paragraph" w:styleId="26">
    <w:name w:val="index 3"/>
    <w:basedOn w:val="1"/>
    <w:next w:val="1"/>
    <w:qFormat/>
    <w:uiPriority w:val="0"/>
    <w:pPr>
      <w:ind w:left="840"/>
    </w:pPr>
  </w:style>
  <w:style w:type="paragraph" w:styleId="27">
    <w:name w:val="Date"/>
    <w:basedOn w:val="1"/>
    <w:next w:val="1"/>
    <w:link w:val="61"/>
    <w:qFormat/>
    <w:uiPriority w:val="0"/>
    <w:rPr>
      <w:kern w:val="0"/>
      <w:sz w:val="28"/>
    </w:rPr>
  </w:style>
  <w:style w:type="paragraph" w:styleId="28">
    <w:name w:val="Body Text Indent 2"/>
    <w:basedOn w:val="1"/>
    <w:link w:val="100"/>
    <w:qFormat/>
    <w:uiPriority w:val="0"/>
    <w:pPr>
      <w:ind w:left="840"/>
    </w:pPr>
    <w:rPr>
      <w:kern w:val="0"/>
      <w:sz w:val="20"/>
    </w:rPr>
  </w:style>
  <w:style w:type="paragraph" w:styleId="29">
    <w:name w:val="Balloon Text"/>
    <w:basedOn w:val="1"/>
    <w:link w:val="78"/>
    <w:qFormat/>
    <w:uiPriority w:val="0"/>
    <w:rPr>
      <w:kern w:val="0"/>
      <w:sz w:val="18"/>
      <w:szCs w:val="18"/>
    </w:rPr>
  </w:style>
  <w:style w:type="paragraph" w:styleId="30">
    <w:name w:val="footer"/>
    <w:basedOn w:val="1"/>
    <w:link w:val="80"/>
    <w:unhideWhenUsed/>
    <w:qFormat/>
    <w:uiPriority w:val="99"/>
    <w:pPr>
      <w:tabs>
        <w:tab w:val="center" w:pos="4153"/>
        <w:tab w:val="right" w:pos="8306"/>
      </w:tabs>
      <w:snapToGrid w:val="0"/>
      <w:jc w:val="left"/>
    </w:pPr>
    <w:rPr>
      <w:kern w:val="0"/>
      <w:sz w:val="18"/>
      <w:szCs w:val="18"/>
    </w:rPr>
  </w:style>
  <w:style w:type="paragraph" w:styleId="31">
    <w:name w:val="header"/>
    <w:basedOn w:val="1"/>
    <w:link w:val="92"/>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qFormat/>
    <w:uiPriority w:val="0"/>
    <w:pPr>
      <w:ind w:left="1260"/>
    </w:pPr>
  </w:style>
  <w:style w:type="paragraph" w:styleId="34">
    <w:name w:val="index heading"/>
    <w:basedOn w:val="1"/>
    <w:next w:val="35"/>
    <w:qFormat/>
    <w:uiPriority w:val="0"/>
  </w:style>
  <w:style w:type="paragraph" w:styleId="35">
    <w:name w:val="index 1"/>
    <w:basedOn w:val="1"/>
    <w:next w:val="1"/>
    <w:unhideWhenUsed/>
    <w:qFormat/>
    <w:uiPriority w:val="0"/>
  </w:style>
  <w:style w:type="paragraph" w:styleId="36">
    <w:name w:val="toc 6"/>
    <w:basedOn w:val="1"/>
    <w:next w:val="1"/>
    <w:qFormat/>
    <w:uiPriority w:val="0"/>
    <w:pPr>
      <w:ind w:left="2100"/>
    </w:pPr>
  </w:style>
  <w:style w:type="paragraph" w:styleId="37">
    <w:name w:val="Body Text Indent 3"/>
    <w:basedOn w:val="1"/>
    <w:link w:val="56"/>
    <w:qFormat/>
    <w:uiPriority w:val="0"/>
    <w:pPr>
      <w:spacing w:line="400" w:lineRule="atLeast"/>
      <w:ind w:left="360" w:firstLine="410" w:firstLineChars="171"/>
    </w:pPr>
    <w:rPr>
      <w:kern w:val="0"/>
      <w:sz w:val="20"/>
    </w:rPr>
  </w:style>
  <w:style w:type="paragraph" w:styleId="38">
    <w:name w:val="index 7"/>
    <w:basedOn w:val="1"/>
    <w:next w:val="1"/>
    <w:qFormat/>
    <w:uiPriority w:val="0"/>
    <w:pPr>
      <w:ind w:left="2520"/>
    </w:pPr>
  </w:style>
  <w:style w:type="paragraph" w:styleId="39">
    <w:name w:val="index 9"/>
    <w:basedOn w:val="1"/>
    <w:next w:val="1"/>
    <w:qFormat/>
    <w:uiPriority w:val="0"/>
    <w:pPr>
      <w:ind w:left="3360"/>
    </w:pPr>
  </w:style>
  <w:style w:type="paragraph" w:styleId="40">
    <w:name w:val="toc 2"/>
    <w:basedOn w:val="1"/>
    <w:next w:val="1"/>
    <w:qFormat/>
    <w:uiPriority w:val="39"/>
    <w:pPr>
      <w:snapToGrid w:val="0"/>
      <w:spacing w:line="480" w:lineRule="exact"/>
      <w:ind w:firstLine="300" w:firstLineChars="300"/>
    </w:pPr>
    <w:rPr>
      <w:sz w:val="24"/>
      <w:szCs w:val="24"/>
    </w:rPr>
  </w:style>
  <w:style w:type="paragraph" w:styleId="41">
    <w:name w:val="toc 9"/>
    <w:basedOn w:val="1"/>
    <w:next w:val="1"/>
    <w:qFormat/>
    <w:uiPriority w:val="0"/>
    <w:pPr>
      <w:ind w:left="3360"/>
    </w:pPr>
  </w:style>
  <w:style w:type="paragraph" w:styleId="42">
    <w:name w:val="HTML Preformatted"/>
    <w:basedOn w:val="1"/>
    <w:link w:val="6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4">
    <w:name w:val="index 2"/>
    <w:basedOn w:val="1"/>
    <w:next w:val="1"/>
    <w:qFormat/>
    <w:uiPriority w:val="0"/>
    <w:pPr>
      <w:ind w:left="420"/>
    </w:pPr>
  </w:style>
  <w:style w:type="paragraph" w:styleId="45">
    <w:name w:val="Title"/>
    <w:link w:val="60"/>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6">
    <w:name w:val="annotation subject"/>
    <w:basedOn w:val="18"/>
    <w:next w:val="18"/>
    <w:link w:val="103"/>
    <w:qFormat/>
    <w:uiPriority w:val="0"/>
    <w:rPr>
      <w:b/>
      <w:bCs/>
    </w:rPr>
  </w:style>
  <w:style w:type="table" w:styleId="48">
    <w:name w:val="Table Grid"/>
    <w:basedOn w:val="4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page number"/>
    <w:qFormat/>
    <w:uiPriority w:val="0"/>
    <w:rPr>
      <w:rFonts w:ascii="Times New Roman" w:hAnsi="Times New Roman" w:eastAsia="宋体" w:cs="Times New Roman"/>
      <w:lang w:val="en-US" w:eastAsia="zh-CN" w:bidi="ar-SA"/>
    </w:rPr>
  </w:style>
  <w:style w:type="character" w:styleId="51">
    <w:name w:val="FollowedHyperlink"/>
    <w:qFormat/>
    <w:uiPriority w:val="0"/>
    <w:rPr>
      <w:rFonts w:ascii="Times New Roman" w:hAnsi="Times New Roman" w:eastAsia="宋体" w:cs="Times New Roman"/>
      <w:color w:val="800080"/>
      <w:u w:val="single"/>
      <w:lang w:val="en-US" w:eastAsia="zh-CN" w:bidi="ar-SA"/>
    </w:rPr>
  </w:style>
  <w:style w:type="character" w:styleId="52">
    <w:name w:val="HTML Typewriter"/>
    <w:qFormat/>
    <w:uiPriority w:val="0"/>
    <w:rPr>
      <w:rFonts w:ascii="Courier New" w:hAnsi="Courier New" w:eastAsia="宋体" w:cs="Courier New"/>
      <w:sz w:val="20"/>
      <w:szCs w:val="20"/>
      <w:lang w:val="en-US" w:eastAsia="zh-CN" w:bidi="ar-SA"/>
    </w:rPr>
  </w:style>
  <w:style w:type="character" w:styleId="53">
    <w:name w:val="Hyperlink"/>
    <w:qFormat/>
    <w:uiPriority w:val="99"/>
    <w:rPr>
      <w:rFonts w:ascii="Times New Roman" w:hAnsi="Times New Roman" w:eastAsia="宋体" w:cs="Times New Roman"/>
      <w:color w:val="0000FF"/>
      <w:u w:val="single"/>
      <w:lang w:val="en-US" w:eastAsia="zh-CN" w:bidi="ar-SA"/>
    </w:rPr>
  </w:style>
  <w:style w:type="character" w:styleId="54">
    <w:name w:val="annotation reference"/>
    <w:qFormat/>
    <w:uiPriority w:val="0"/>
    <w:rPr>
      <w:rFonts w:ascii="Times New Roman" w:hAnsi="Times New Roman" w:eastAsia="宋体" w:cs="Times New Roman"/>
      <w:sz w:val="21"/>
      <w:szCs w:val="21"/>
      <w:lang w:val="en-US" w:eastAsia="zh-CN" w:bidi="ar-SA"/>
    </w:rPr>
  </w:style>
  <w:style w:type="character" w:customStyle="1" w:styleId="55">
    <w:name w:val="Heading #2|1 + Spacing 2 pt"/>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56">
    <w:name w:val="正文文本缩进 3 Char"/>
    <w:link w:val="37"/>
    <w:qFormat/>
    <w:uiPriority w:val="0"/>
    <w:rPr>
      <w:rFonts w:ascii="Times New Roman" w:hAnsi="Times New Roman" w:eastAsia="宋体" w:cs="Times New Roman"/>
      <w:kern w:val="0"/>
      <w:sz w:val="20"/>
      <w:szCs w:val="20"/>
    </w:rPr>
  </w:style>
  <w:style w:type="character" w:customStyle="1" w:styleId="57">
    <w:name w:val="正文文本字符1"/>
    <w:semiHidden/>
    <w:qFormat/>
    <w:uiPriority w:val="99"/>
    <w:rPr>
      <w:rFonts w:ascii="Times New Roman" w:hAnsi="Times New Roman" w:eastAsia="宋体" w:cs="Times New Roman"/>
      <w:sz w:val="21"/>
      <w:szCs w:val="20"/>
    </w:rPr>
  </w:style>
  <w:style w:type="character" w:customStyle="1" w:styleId="58">
    <w:name w:val="标题 5 Char"/>
    <w:link w:val="8"/>
    <w:qFormat/>
    <w:uiPriority w:val="0"/>
    <w:rPr>
      <w:rFonts w:ascii="Times New Roman" w:hAnsi="Times New Roman" w:eastAsia="宋体" w:cs="Times New Roman"/>
      <w:b/>
      <w:kern w:val="0"/>
      <w:sz w:val="28"/>
      <w:szCs w:val="20"/>
    </w:rPr>
  </w:style>
  <w:style w:type="character" w:customStyle="1" w:styleId="59">
    <w:name w:val="Body text|2 Exact"/>
    <w:unhideWhenUsed/>
    <w:qFormat/>
    <w:uiPriority w:val="0"/>
    <w:rPr>
      <w:rFonts w:ascii="PMingLiU" w:hAnsi="PMingLiU" w:eastAsia="PMingLiU" w:cs="PMingLiU"/>
      <w:sz w:val="22"/>
      <w:szCs w:val="22"/>
      <w:u w:val="none"/>
      <w:lang w:val="en-US" w:eastAsia="en-US" w:bidi="en-US"/>
    </w:rPr>
  </w:style>
  <w:style w:type="character" w:customStyle="1" w:styleId="60">
    <w:name w:val="标题 Char"/>
    <w:link w:val="45"/>
    <w:qFormat/>
    <w:uiPriority w:val="0"/>
    <w:rPr>
      <w:rFonts w:eastAsia="仿宋_GB2312" w:cs="Cambria"/>
      <w:b/>
      <w:bCs/>
      <w:sz w:val="32"/>
      <w:szCs w:val="32"/>
      <w:lang w:val="en-US" w:eastAsia="zh-CN" w:bidi="ar-SA"/>
    </w:rPr>
  </w:style>
  <w:style w:type="character" w:customStyle="1" w:styleId="61">
    <w:name w:val="日期 Char"/>
    <w:link w:val="27"/>
    <w:qFormat/>
    <w:uiPriority w:val="0"/>
    <w:rPr>
      <w:rFonts w:ascii="Times New Roman" w:hAnsi="Times New Roman" w:eastAsia="宋体" w:cs="Times New Roman"/>
      <w:kern w:val="0"/>
      <w:sz w:val="28"/>
      <w:szCs w:val="20"/>
    </w:rPr>
  </w:style>
  <w:style w:type="character" w:customStyle="1" w:styleId="62">
    <w:name w:val="标题 6 Char"/>
    <w:link w:val="9"/>
    <w:qFormat/>
    <w:uiPriority w:val="0"/>
    <w:rPr>
      <w:rFonts w:ascii="Arial" w:hAnsi="Arial" w:eastAsia="黑体" w:cs="Times New Roman"/>
      <w:b/>
      <w:kern w:val="0"/>
      <w:sz w:val="20"/>
      <w:szCs w:val="20"/>
    </w:rPr>
  </w:style>
  <w:style w:type="character" w:customStyle="1" w:styleId="63">
    <w:name w:val="批注主题字符1"/>
    <w:semiHidden/>
    <w:qFormat/>
    <w:uiPriority w:val="99"/>
    <w:rPr>
      <w:rFonts w:ascii="Times New Roman" w:hAnsi="Times New Roman" w:eastAsia="宋体" w:cs="Times New Roman"/>
      <w:b/>
      <w:bCs/>
      <w:sz w:val="21"/>
      <w:szCs w:val="20"/>
    </w:rPr>
  </w:style>
  <w:style w:type="character" w:customStyle="1" w:styleId="64">
    <w:name w:val="正文文本缩进字符1"/>
    <w:semiHidden/>
    <w:qFormat/>
    <w:uiPriority w:val="99"/>
    <w:rPr>
      <w:rFonts w:ascii="Times New Roman" w:hAnsi="Times New Roman" w:eastAsia="宋体" w:cs="Times New Roman"/>
      <w:sz w:val="21"/>
      <w:szCs w:val="20"/>
    </w:rPr>
  </w:style>
  <w:style w:type="character" w:customStyle="1" w:styleId="65">
    <w:name w:val="页脚字符1"/>
    <w:semiHidden/>
    <w:qFormat/>
    <w:uiPriority w:val="99"/>
    <w:rPr>
      <w:rFonts w:ascii="Times New Roman" w:hAnsi="Times New Roman" w:eastAsia="宋体" w:cs="Times New Roman"/>
      <w:sz w:val="18"/>
      <w:szCs w:val="18"/>
    </w:rPr>
  </w:style>
  <w:style w:type="character" w:customStyle="1" w:styleId="66">
    <w:name w:val="font11"/>
    <w:qFormat/>
    <w:uiPriority w:val="0"/>
    <w:rPr>
      <w:rFonts w:hint="eastAsia" w:ascii="宋体" w:hAnsi="宋体" w:eastAsia="宋体" w:cs="宋体"/>
      <w:color w:val="000000"/>
      <w:sz w:val="22"/>
      <w:szCs w:val="22"/>
      <w:u w:val="none"/>
    </w:rPr>
  </w:style>
  <w:style w:type="character" w:customStyle="1" w:styleId="6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68">
    <w:name w:val="HTML 预设格式 Char"/>
    <w:link w:val="42"/>
    <w:qFormat/>
    <w:uiPriority w:val="0"/>
    <w:rPr>
      <w:rFonts w:ascii="宋体" w:hAnsi="宋体" w:eastAsia="宋体" w:cs="Times New Roman"/>
      <w:kern w:val="0"/>
      <w:sz w:val="20"/>
      <w:szCs w:val="20"/>
    </w:rPr>
  </w:style>
  <w:style w:type="character" w:customStyle="1" w:styleId="69">
    <w:name w:val="批注框文本字符1"/>
    <w:semiHidden/>
    <w:qFormat/>
    <w:uiPriority w:val="99"/>
    <w:rPr>
      <w:rFonts w:ascii="Heiti SC Light" w:hAnsi="Times New Roman" w:eastAsia="Heiti SC Light" w:cs="Times New Roman"/>
      <w:sz w:val="18"/>
      <w:szCs w:val="18"/>
    </w:rPr>
  </w:style>
  <w:style w:type="character" w:customStyle="1" w:styleId="70">
    <w:name w:val="纯文本字符1"/>
    <w:semiHidden/>
    <w:qFormat/>
    <w:uiPriority w:val="99"/>
    <w:rPr>
      <w:rFonts w:ascii="宋体" w:hAnsi="Courier" w:eastAsia="宋体" w:cs="Times New Roman"/>
    </w:rPr>
  </w:style>
  <w:style w:type="character" w:customStyle="1" w:styleId="71">
    <w:name w:val="正文文本 Char"/>
    <w:link w:val="20"/>
    <w:qFormat/>
    <w:uiPriority w:val="0"/>
    <w:rPr>
      <w:rFonts w:ascii="Times New Roman" w:hAnsi="Times New Roman" w:eastAsia="宋体" w:cs="Times New Roman"/>
      <w:kern w:val="0"/>
      <w:sz w:val="20"/>
      <w:szCs w:val="20"/>
    </w:rPr>
  </w:style>
  <w:style w:type="character" w:customStyle="1" w:styleId="72">
    <w:name w:val="Body text|2 + Spacing 2 pt"/>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73">
    <w:name w:val="Body text|2 + Bold"/>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74">
    <w:name w:val="页码1"/>
    <w:qFormat/>
    <w:uiPriority w:val="0"/>
    <w:rPr>
      <w:rFonts w:ascii="Times New Roman" w:hAnsi="Times New Roman" w:eastAsia="宋体" w:cs="Times New Roman"/>
      <w:lang w:val="en-US" w:eastAsia="zh-CN" w:bidi="ar-SA"/>
    </w:rPr>
  </w:style>
  <w:style w:type="character" w:customStyle="1" w:styleId="75">
    <w:name w:val="批注文字 Char1"/>
    <w:qFormat/>
    <w:uiPriority w:val="0"/>
    <w:rPr>
      <w:rFonts w:ascii="Times New Roman" w:hAnsi="Times New Roman" w:eastAsia="宋体" w:cs="Times New Roman"/>
      <w:sz w:val="21"/>
      <w:szCs w:val="20"/>
    </w:rPr>
  </w:style>
  <w:style w:type="character" w:customStyle="1" w:styleId="76">
    <w:name w:val="标题 7 Char"/>
    <w:link w:val="10"/>
    <w:qFormat/>
    <w:uiPriority w:val="0"/>
    <w:rPr>
      <w:rFonts w:ascii="Times New Roman" w:hAnsi="Times New Roman" w:eastAsia="宋体" w:cs="Times New Roman"/>
      <w:b/>
      <w:kern w:val="0"/>
      <w:sz w:val="20"/>
      <w:szCs w:val="20"/>
    </w:rPr>
  </w:style>
  <w:style w:type="character" w:customStyle="1" w:styleId="77">
    <w:name w:val="标题 2 Char"/>
    <w:link w:val="5"/>
    <w:qFormat/>
    <w:uiPriority w:val="0"/>
    <w:rPr>
      <w:rFonts w:ascii="黑体" w:hAnsi="Arial" w:eastAsia="黑体" w:cs="Times New Roman"/>
      <w:kern w:val="0"/>
      <w:sz w:val="28"/>
      <w:szCs w:val="20"/>
    </w:rPr>
  </w:style>
  <w:style w:type="character" w:customStyle="1" w:styleId="78">
    <w:name w:val="批注框文本 Char"/>
    <w:link w:val="29"/>
    <w:qFormat/>
    <w:uiPriority w:val="0"/>
    <w:rPr>
      <w:rFonts w:ascii="Times New Roman" w:hAnsi="Times New Roman" w:eastAsia="宋体" w:cs="Times New Roman"/>
      <w:kern w:val="0"/>
      <w:sz w:val="18"/>
      <w:szCs w:val="18"/>
    </w:rPr>
  </w:style>
  <w:style w:type="character" w:customStyle="1" w:styleId="79">
    <w:name w:val="Header or footer|1_"/>
    <w:qFormat/>
    <w:uiPriority w:val="0"/>
    <w:rPr>
      <w:rFonts w:ascii="PMingLiU" w:hAnsi="PMingLiU" w:eastAsia="PMingLiU" w:cs="PMingLiU"/>
      <w:sz w:val="17"/>
      <w:szCs w:val="17"/>
      <w:u w:val="none"/>
    </w:rPr>
  </w:style>
  <w:style w:type="character" w:customStyle="1" w:styleId="80">
    <w:name w:val="页脚 Char"/>
    <w:link w:val="30"/>
    <w:qFormat/>
    <w:uiPriority w:val="99"/>
    <w:rPr>
      <w:sz w:val="18"/>
      <w:szCs w:val="18"/>
    </w:rPr>
  </w:style>
  <w:style w:type="character" w:customStyle="1" w:styleId="8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82">
    <w:name w:val="font01"/>
    <w:qFormat/>
    <w:uiPriority w:val="0"/>
    <w:rPr>
      <w:rFonts w:ascii="font-weight : 400" w:hAnsi="font-weight : 400" w:eastAsia="font-weight : 400" w:cs="font-weight : 400"/>
      <w:color w:val="000000"/>
      <w:sz w:val="22"/>
      <w:szCs w:val="22"/>
      <w:u w:val="none"/>
    </w:rPr>
  </w:style>
  <w:style w:type="character" w:customStyle="1" w:styleId="83">
    <w:name w:val="标题 8 Char"/>
    <w:link w:val="11"/>
    <w:qFormat/>
    <w:uiPriority w:val="0"/>
    <w:rPr>
      <w:rFonts w:ascii="Arial" w:hAnsi="Arial" w:eastAsia="黑体" w:cs="Times New Roman"/>
      <w:kern w:val="0"/>
      <w:sz w:val="20"/>
      <w:szCs w:val="20"/>
    </w:rPr>
  </w:style>
  <w:style w:type="character" w:customStyle="1" w:styleId="84">
    <w:name w:val="文档结构图 字符1"/>
    <w:semiHidden/>
    <w:qFormat/>
    <w:uiPriority w:val="99"/>
    <w:rPr>
      <w:rFonts w:ascii="Heiti SC Light" w:hAnsi="Times New Roman" w:eastAsia="Heiti SC Light" w:cs="Times New Roman"/>
    </w:rPr>
  </w:style>
  <w:style w:type="character" w:customStyle="1" w:styleId="85">
    <w:name w:val="标题 3 Char"/>
    <w:link w:val="6"/>
    <w:qFormat/>
    <w:uiPriority w:val="0"/>
    <w:rPr>
      <w:rFonts w:ascii="Times New Roman" w:hAnsi="Times New Roman" w:eastAsia="宋体" w:cs="Times New Roman"/>
      <w:b/>
      <w:kern w:val="0"/>
      <w:sz w:val="32"/>
      <w:szCs w:val="20"/>
    </w:rPr>
  </w:style>
  <w:style w:type="character" w:customStyle="1" w:styleId="86">
    <w:name w:val="Header or footer|1"/>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87">
    <w:name w:val="Body text|4 + 11 pt"/>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88">
    <w:name w:val="正文文本缩进 2 Char1"/>
    <w:qFormat/>
    <w:uiPriority w:val="0"/>
    <w:rPr>
      <w:rFonts w:ascii="Times New Roman" w:hAnsi="Times New Roman" w:eastAsia="宋体" w:cs="Times New Roman"/>
      <w:kern w:val="2"/>
      <w:sz w:val="21"/>
      <w:lang w:val="en-US" w:eastAsia="zh-CN" w:bidi="ar-SA"/>
    </w:rPr>
  </w:style>
  <w:style w:type="character" w:customStyle="1" w:styleId="89">
    <w:name w:val="Body text|5_"/>
    <w:link w:val="90"/>
    <w:qFormat/>
    <w:uiPriority w:val="0"/>
    <w:rPr>
      <w:sz w:val="8"/>
      <w:szCs w:val="8"/>
      <w:shd w:val="clear" w:color="auto" w:fill="FFFFFF"/>
      <w:lang w:eastAsia="en-US" w:bidi="en-US"/>
    </w:rPr>
  </w:style>
  <w:style w:type="paragraph" w:customStyle="1" w:styleId="90">
    <w:name w:val="Body text|5"/>
    <w:basedOn w:val="1"/>
    <w:link w:val="89"/>
    <w:qFormat/>
    <w:uiPriority w:val="0"/>
    <w:pPr>
      <w:shd w:val="clear" w:color="auto" w:fill="FFFFFF"/>
      <w:spacing w:after="260" w:line="88" w:lineRule="exact"/>
      <w:jc w:val="left"/>
    </w:pPr>
    <w:rPr>
      <w:kern w:val="0"/>
      <w:sz w:val="8"/>
      <w:szCs w:val="8"/>
      <w:lang w:eastAsia="en-US" w:bidi="en-US"/>
    </w:rPr>
  </w:style>
  <w:style w:type="character" w:customStyle="1" w:styleId="91">
    <w:name w:val="纯文本 字符1"/>
    <w:semiHidden/>
    <w:qFormat/>
    <w:locked/>
    <w:uiPriority w:val="0"/>
    <w:rPr>
      <w:rFonts w:ascii="宋体" w:hAnsi="Courier New"/>
    </w:rPr>
  </w:style>
  <w:style w:type="character" w:customStyle="1" w:styleId="92">
    <w:name w:val="页眉 Char"/>
    <w:link w:val="31"/>
    <w:qFormat/>
    <w:uiPriority w:val="99"/>
    <w:rPr>
      <w:sz w:val="18"/>
      <w:szCs w:val="18"/>
    </w:rPr>
  </w:style>
  <w:style w:type="character" w:customStyle="1" w:styleId="93">
    <w:name w:val="页脚 Char1"/>
    <w:qFormat/>
    <w:uiPriority w:val="0"/>
    <w:rPr>
      <w:rFonts w:ascii="Times New Roman" w:hAnsi="Times New Roman" w:eastAsia="宋体" w:cs="Times New Roman"/>
      <w:kern w:val="2"/>
      <w:sz w:val="18"/>
      <w:szCs w:val="18"/>
      <w:lang w:val="en-US" w:eastAsia="zh-CN" w:bidi="ar-SA"/>
    </w:rPr>
  </w:style>
  <w:style w:type="character" w:customStyle="1" w:styleId="94">
    <w:name w:val="Body text|2_"/>
    <w:link w:val="95"/>
    <w:qFormat/>
    <w:uiPriority w:val="0"/>
    <w:rPr>
      <w:rFonts w:ascii="PMingLiU" w:hAnsi="PMingLiU" w:eastAsia="PMingLiU" w:cs="PMingLiU"/>
      <w:sz w:val="22"/>
      <w:shd w:val="clear" w:color="auto" w:fill="FFFFFF"/>
    </w:rPr>
  </w:style>
  <w:style w:type="paragraph" w:customStyle="1" w:styleId="95">
    <w:name w:val="Body text|2"/>
    <w:basedOn w:val="1"/>
    <w:link w:val="94"/>
    <w:qFormat/>
    <w:uiPriority w:val="0"/>
    <w:pPr>
      <w:shd w:val="clear" w:color="auto" w:fill="FFFFFF"/>
      <w:spacing w:after="1020" w:line="220" w:lineRule="exact"/>
      <w:ind w:hanging="1100"/>
      <w:jc w:val="right"/>
    </w:pPr>
    <w:rPr>
      <w:rFonts w:ascii="PMingLiU" w:hAnsi="PMingLiU" w:eastAsia="PMingLiU"/>
      <w:kern w:val="0"/>
      <w:sz w:val="22"/>
    </w:rPr>
  </w:style>
  <w:style w:type="character" w:customStyle="1" w:styleId="96">
    <w:name w:val="Heading #2|1_"/>
    <w:link w:val="97"/>
    <w:qFormat/>
    <w:uiPriority w:val="0"/>
    <w:rPr>
      <w:rFonts w:ascii="PMingLiU" w:hAnsi="PMingLiU" w:eastAsia="PMingLiU" w:cs="PMingLiU"/>
      <w:b/>
      <w:bCs/>
      <w:spacing w:val="20"/>
      <w:sz w:val="23"/>
      <w:szCs w:val="23"/>
      <w:shd w:val="clear" w:color="auto" w:fill="FFFFFF"/>
    </w:rPr>
  </w:style>
  <w:style w:type="paragraph" w:customStyle="1" w:styleId="97">
    <w:name w:val="Heading #2|1"/>
    <w:basedOn w:val="1"/>
    <w:link w:val="96"/>
    <w:qFormat/>
    <w:uiPriority w:val="0"/>
    <w:pPr>
      <w:shd w:val="clear" w:color="auto" w:fill="FFFFFF"/>
      <w:spacing w:after="120" w:line="504" w:lineRule="exact"/>
      <w:ind w:hanging="880"/>
      <w:jc w:val="distribute"/>
      <w:outlineLvl w:val="1"/>
    </w:pPr>
    <w:rPr>
      <w:rFonts w:ascii="PMingLiU" w:hAnsi="PMingLiU" w:eastAsia="PMingLiU"/>
      <w:b/>
      <w:bCs/>
      <w:spacing w:val="20"/>
      <w:kern w:val="0"/>
      <w:sz w:val="23"/>
      <w:szCs w:val="23"/>
    </w:rPr>
  </w:style>
  <w:style w:type="character" w:customStyle="1" w:styleId="98">
    <w:name w:val="正文文本缩进 Char1"/>
    <w:qFormat/>
    <w:uiPriority w:val="0"/>
    <w:rPr>
      <w:rFonts w:ascii="Times New Roman" w:hAnsi="Times New Roman" w:eastAsia="宋体" w:cs="Times New Roman"/>
      <w:kern w:val="2"/>
      <w:sz w:val="21"/>
      <w:lang w:val="en-US" w:eastAsia="zh-CN" w:bidi="ar-SA"/>
    </w:rPr>
  </w:style>
  <w:style w:type="character" w:customStyle="1" w:styleId="99">
    <w:name w:val="Body text|2 + 11.5 pt"/>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00">
    <w:name w:val="正文文本缩进 2 Char"/>
    <w:link w:val="28"/>
    <w:qFormat/>
    <w:uiPriority w:val="0"/>
    <w:rPr>
      <w:rFonts w:ascii="Times New Roman" w:hAnsi="Times New Roman" w:eastAsia="宋体" w:cs="Times New Roman"/>
      <w:kern w:val="0"/>
      <w:sz w:val="20"/>
      <w:szCs w:val="20"/>
    </w:rPr>
  </w:style>
  <w:style w:type="character" w:customStyle="1" w:styleId="101">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02">
    <w:name w:val="正文文本 Char1"/>
    <w:qFormat/>
    <w:uiPriority w:val="0"/>
    <w:rPr>
      <w:rFonts w:ascii="Times New Roman" w:hAnsi="Times New Roman" w:eastAsia="宋体" w:cs="Times New Roman"/>
      <w:kern w:val="2"/>
      <w:sz w:val="21"/>
      <w:lang w:val="en-US" w:eastAsia="zh-CN" w:bidi="ar-SA"/>
    </w:rPr>
  </w:style>
  <w:style w:type="character" w:customStyle="1" w:styleId="103">
    <w:name w:val="批注主题 Char"/>
    <w:link w:val="46"/>
    <w:qFormat/>
    <w:uiPriority w:val="0"/>
    <w:rPr>
      <w:rFonts w:ascii="Times New Roman" w:hAnsi="Times New Roman" w:eastAsia="宋体" w:cs="Times New Roman"/>
      <w:b/>
      <w:bCs/>
      <w:kern w:val="0"/>
      <w:sz w:val="20"/>
      <w:szCs w:val="20"/>
    </w:rPr>
  </w:style>
  <w:style w:type="character" w:customStyle="1" w:styleId="104">
    <w:name w:val="文档结构图 Char1"/>
    <w:qFormat/>
    <w:uiPriority w:val="0"/>
    <w:rPr>
      <w:rFonts w:ascii="宋体" w:hAnsi="Times New Roman" w:eastAsia="宋体" w:cs="Times New Roman"/>
      <w:kern w:val="2"/>
      <w:sz w:val="18"/>
      <w:szCs w:val="18"/>
      <w:lang w:val="en-US" w:eastAsia="zh-CN" w:bidi="ar-SA"/>
    </w:rPr>
  </w:style>
  <w:style w:type="character" w:customStyle="1" w:styleId="105">
    <w:name w:val="纯文本 Char1"/>
    <w:qFormat/>
    <w:uiPriority w:val="0"/>
    <w:rPr>
      <w:rFonts w:ascii="宋体" w:hAnsi="Courier New" w:eastAsia="宋体" w:cs="Courier New"/>
      <w:kern w:val="2"/>
      <w:sz w:val="21"/>
      <w:szCs w:val="21"/>
      <w:lang w:val="en-US" w:eastAsia="zh-CN" w:bidi="ar-SA"/>
    </w:rPr>
  </w:style>
  <w:style w:type="character" w:customStyle="1" w:styleId="106">
    <w:name w:val="日期字符1"/>
    <w:semiHidden/>
    <w:qFormat/>
    <w:uiPriority w:val="99"/>
    <w:rPr>
      <w:rFonts w:ascii="Times New Roman" w:hAnsi="Times New Roman" w:eastAsia="宋体" w:cs="Times New Roman"/>
      <w:sz w:val="21"/>
      <w:szCs w:val="20"/>
    </w:rPr>
  </w:style>
  <w:style w:type="character" w:customStyle="1" w:styleId="107">
    <w:name w:val="apple-converted-space"/>
    <w:qFormat/>
    <w:uiPriority w:val="0"/>
    <w:rPr>
      <w:rFonts w:ascii="Times New Roman" w:hAnsi="Times New Roman" w:eastAsia="宋体" w:cs="Times New Roman"/>
      <w:lang w:val="en-US" w:eastAsia="zh-CN" w:bidi="ar-SA"/>
    </w:rPr>
  </w:style>
  <w:style w:type="character" w:customStyle="1" w:styleId="108">
    <w:name w:val="标题 4 Char"/>
    <w:link w:val="7"/>
    <w:qFormat/>
    <w:uiPriority w:val="0"/>
    <w:rPr>
      <w:rFonts w:ascii="Arial" w:hAnsi="Arial" w:eastAsia="黑体" w:cs="Times New Roman"/>
      <w:b/>
      <w:kern w:val="0"/>
      <w:sz w:val="28"/>
      <w:szCs w:val="20"/>
    </w:rPr>
  </w:style>
  <w:style w:type="character" w:customStyle="1" w:styleId="109">
    <w:name w:val="文档结构图 Char"/>
    <w:link w:val="17"/>
    <w:qFormat/>
    <w:uiPriority w:val="0"/>
    <w:rPr>
      <w:rFonts w:ascii="Times New Roman" w:hAnsi="Times New Roman" w:eastAsia="宋体" w:cs="Times New Roman"/>
      <w:kern w:val="0"/>
      <w:sz w:val="20"/>
      <w:szCs w:val="20"/>
      <w:shd w:val="clear" w:color="auto" w:fill="000080"/>
    </w:rPr>
  </w:style>
  <w:style w:type="character" w:customStyle="1" w:styleId="110">
    <w:name w:val="标题 9 Char"/>
    <w:link w:val="12"/>
    <w:qFormat/>
    <w:uiPriority w:val="0"/>
    <w:rPr>
      <w:rFonts w:ascii="Arial" w:hAnsi="Arial" w:eastAsia="黑体" w:cs="Times New Roman"/>
      <w:kern w:val="0"/>
      <w:szCs w:val="20"/>
    </w:rPr>
  </w:style>
  <w:style w:type="character" w:customStyle="1" w:styleId="111">
    <w:name w:val="日期 Char1"/>
    <w:qFormat/>
    <w:uiPriority w:val="0"/>
    <w:rPr>
      <w:rFonts w:ascii="Times New Roman" w:hAnsi="Times New Roman" w:eastAsia="宋体" w:cs="Times New Roman"/>
      <w:kern w:val="2"/>
      <w:sz w:val="21"/>
      <w:lang w:val="en-US" w:eastAsia="zh-CN" w:bidi="ar-SA"/>
    </w:rPr>
  </w:style>
  <w:style w:type="character" w:customStyle="1" w:styleId="112">
    <w:name w:val="Body text|4_"/>
    <w:link w:val="113"/>
    <w:qFormat/>
    <w:uiPriority w:val="0"/>
    <w:rPr>
      <w:rFonts w:ascii="PMingLiU" w:hAnsi="PMingLiU" w:eastAsia="PMingLiU" w:cs="PMingLiU"/>
      <w:sz w:val="19"/>
      <w:szCs w:val="19"/>
      <w:shd w:val="clear" w:color="auto" w:fill="FFFFFF"/>
    </w:rPr>
  </w:style>
  <w:style w:type="paragraph" w:customStyle="1" w:styleId="113">
    <w:name w:val="Body text|4"/>
    <w:basedOn w:val="1"/>
    <w:link w:val="112"/>
    <w:qFormat/>
    <w:uiPriority w:val="0"/>
    <w:pPr>
      <w:shd w:val="clear" w:color="auto" w:fill="FFFFFF"/>
      <w:spacing w:line="461" w:lineRule="exact"/>
      <w:ind w:hanging="1960"/>
      <w:jc w:val="distribute"/>
    </w:pPr>
    <w:rPr>
      <w:rFonts w:ascii="PMingLiU" w:hAnsi="PMingLiU" w:eastAsia="PMingLiU"/>
      <w:kern w:val="0"/>
      <w:sz w:val="19"/>
      <w:szCs w:val="19"/>
    </w:rPr>
  </w:style>
  <w:style w:type="character" w:customStyle="1" w:styleId="114">
    <w:name w:val="Body text|2 + Scaling 90%"/>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15">
    <w:name w:val="批注文字 Char"/>
    <w:link w:val="18"/>
    <w:qFormat/>
    <w:uiPriority w:val="99"/>
    <w:rPr>
      <w:rFonts w:ascii="Times New Roman" w:hAnsi="Times New Roman" w:eastAsia="宋体" w:cs="Times New Roman"/>
      <w:szCs w:val="20"/>
    </w:rPr>
  </w:style>
  <w:style w:type="character" w:customStyle="1" w:styleId="116">
    <w:name w:val="页眉字符1"/>
    <w:semiHidden/>
    <w:qFormat/>
    <w:uiPriority w:val="99"/>
    <w:rPr>
      <w:rFonts w:ascii="Times New Roman" w:hAnsi="Times New Roman" w:eastAsia="宋体" w:cs="Times New Roman"/>
      <w:sz w:val="18"/>
      <w:szCs w:val="18"/>
    </w:rPr>
  </w:style>
  <w:style w:type="character" w:customStyle="1" w:styleId="117">
    <w:name w:val="正文文本缩进 Char"/>
    <w:link w:val="3"/>
    <w:qFormat/>
    <w:uiPriority w:val="0"/>
    <w:rPr>
      <w:rFonts w:ascii="Times New Roman" w:hAnsi="Times New Roman" w:eastAsia="宋体" w:cs="Times New Roman"/>
      <w:kern w:val="0"/>
      <w:sz w:val="20"/>
      <w:szCs w:val="20"/>
    </w:rPr>
  </w:style>
  <w:style w:type="character" w:customStyle="1" w:styleId="118">
    <w:name w:val="页眉 Char1"/>
    <w:qFormat/>
    <w:uiPriority w:val="0"/>
    <w:rPr>
      <w:rFonts w:ascii="Times New Roman" w:hAnsi="Times New Roman" w:eastAsia="宋体" w:cs="Times New Roman"/>
      <w:kern w:val="2"/>
      <w:sz w:val="18"/>
      <w:szCs w:val="18"/>
      <w:lang w:val="en-US" w:eastAsia="zh-CN" w:bidi="ar-SA"/>
    </w:rPr>
  </w:style>
  <w:style w:type="character" w:customStyle="1" w:styleId="119">
    <w:name w:val="纯文本 Char"/>
    <w:link w:val="24"/>
    <w:qFormat/>
    <w:uiPriority w:val="0"/>
    <w:rPr>
      <w:rFonts w:ascii="宋体" w:hAnsi="Courier New" w:eastAsia="宋体" w:cs="Times New Roman"/>
      <w:kern w:val="0"/>
      <w:sz w:val="20"/>
      <w:szCs w:val="20"/>
    </w:rPr>
  </w:style>
  <w:style w:type="character" w:customStyle="1" w:styleId="120">
    <w:name w:val="正文文本缩进 3字符1"/>
    <w:semiHidden/>
    <w:qFormat/>
    <w:uiPriority w:val="99"/>
    <w:rPr>
      <w:rFonts w:ascii="Times New Roman" w:hAnsi="Times New Roman" w:eastAsia="宋体" w:cs="Times New Roman"/>
      <w:sz w:val="16"/>
      <w:szCs w:val="16"/>
    </w:rPr>
  </w:style>
  <w:style w:type="character" w:customStyle="1" w:styleId="121">
    <w:name w:val="Body text|3 Exact"/>
    <w:link w:val="122"/>
    <w:qFormat/>
    <w:uiPriority w:val="0"/>
    <w:rPr>
      <w:rFonts w:ascii="PMingLiU" w:hAnsi="PMingLiU" w:eastAsia="PMingLiU" w:cs="PMingLiU"/>
      <w:w w:val="350"/>
      <w:sz w:val="32"/>
      <w:szCs w:val="32"/>
      <w:shd w:val="clear" w:color="auto" w:fill="FFFFFF"/>
      <w:lang w:eastAsia="en-US" w:bidi="en-US"/>
    </w:rPr>
  </w:style>
  <w:style w:type="paragraph" w:customStyle="1" w:styleId="122">
    <w:name w:val="Body text|3"/>
    <w:basedOn w:val="1"/>
    <w:link w:val="121"/>
    <w:qFormat/>
    <w:uiPriority w:val="0"/>
    <w:pPr>
      <w:shd w:val="clear" w:color="auto" w:fill="FFFFFF"/>
      <w:spacing w:line="320" w:lineRule="exact"/>
      <w:jc w:val="left"/>
    </w:pPr>
    <w:rPr>
      <w:rFonts w:ascii="PMingLiU" w:hAnsi="PMingLiU" w:eastAsia="PMingLiU" w:cs="PMingLiU"/>
      <w:w w:val="350"/>
      <w:kern w:val="0"/>
      <w:sz w:val="32"/>
      <w:szCs w:val="32"/>
      <w:lang w:eastAsia="en-US" w:bidi="en-US"/>
    </w:rPr>
  </w:style>
  <w:style w:type="character" w:customStyle="1" w:styleId="123">
    <w:name w:val="无间隔 Char"/>
    <w:link w:val="124"/>
    <w:qFormat/>
    <w:uiPriority w:val="0"/>
    <w:rPr>
      <w:kern w:val="2"/>
      <w:sz w:val="22"/>
      <w:szCs w:val="22"/>
      <w:lang w:val="en-US" w:eastAsia="zh-CN" w:bidi="ar-SA"/>
    </w:rPr>
  </w:style>
  <w:style w:type="paragraph" w:customStyle="1" w:styleId="124">
    <w:name w:val="无间距1"/>
    <w:link w:val="123"/>
    <w:qFormat/>
    <w:uiPriority w:val="0"/>
    <w:rPr>
      <w:rFonts w:ascii="Times New Roman" w:hAnsi="Times New Roman" w:eastAsia="宋体" w:cs="Times New Roman"/>
      <w:kern w:val="2"/>
      <w:sz w:val="22"/>
      <w:szCs w:val="22"/>
      <w:lang w:val="en-US" w:eastAsia="zh-CN" w:bidi="ar-SA"/>
    </w:rPr>
  </w:style>
  <w:style w:type="character" w:customStyle="1" w:styleId="125">
    <w:name w:val="正文文本缩进 2字符1"/>
    <w:semiHidden/>
    <w:qFormat/>
    <w:uiPriority w:val="99"/>
    <w:rPr>
      <w:rFonts w:ascii="Times New Roman" w:hAnsi="Times New Roman" w:eastAsia="宋体" w:cs="Times New Roman"/>
      <w:sz w:val="21"/>
      <w:szCs w:val="20"/>
    </w:rPr>
  </w:style>
  <w:style w:type="character" w:customStyle="1" w:styleId="126">
    <w:name w:val="中等深浅网格 11"/>
    <w:semiHidden/>
    <w:qFormat/>
    <w:uiPriority w:val="99"/>
    <w:rPr>
      <w:color w:val="808080"/>
    </w:rPr>
  </w:style>
  <w:style w:type="character" w:customStyle="1" w:styleId="127">
    <w:name w:val="标题 1 Char"/>
    <w:link w:val="4"/>
    <w:qFormat/>
    <w:uiPriority w:val="0"/>
    <w:rPr>
      <w:rFonts w:ascii="Times New Roman" w:hAnsi="Times New Roman" w:eastAsia="宋体" w:cs="Times New Roman"/>
      <w:b/>
      <w:kern w:val="44"/>
      <w:sz w:val="20"/>
      <w:szCs w:val="20"/>
    </w:rPr>
  </w:style>
  <w:style w:type="paragraph" w:customStyle="1" w:styleId="128">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正文（首行缩进两字）"/>
    <w:basedOn w:val="1"/>
    <w:qFormat/>
    <w:uiPriority w:val="0"/>
  </w:style>
  <w:style w:type="paragraph" w:customStyle="1" w:styleId="130">
    <w:name w:val="彩色列表 - 着色 12"/>
    <w:basedOn w:val="1"/>
    <w:qFormat/>
    <w:uiPriority w:val="99"/>
    <w:pPr>
      <w:ind w:firstLine="420" w:firstLineChars="200"/>
    </w:pPr>
  </w:style>
  <w:style w:type="paragraph" w:customStyle="1" w:styleId="131">
    <w:name w:val="Char Char1 Char Char Char Char Char Char Char Char Char Char Char Char"/>
    <w:basedOn w:val="1"/>
    <w:qFormat/>
    <w:uiPriority w:val="0"/>
    <w:rPr>
      <w:szCs w:val="24"/>
    </w:rPr>
  </w:style>
  <w:style w:type="paragraph" w:customStyle="1" w:styleId="132">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6">
    <w:name w:val="列出段落1"/>
    <w:basedOn w:val="1"/>
    <w:qFormat/>
    <w:uiPriority w:val="0"/>
    <w:pPr>
      <w:ind w:firstLine="420" w:firstLineChars="200"/>
    </w:pPr>
  </w:style>
  <w:style w:type="paragraph" w:customStyle="1" w:styleId="137">
    <w:name w:val="font7"/>
    <w:basedOn w:val="1"/>
    <w:qFormat/>
    <w:uiPriority w:val="0"/>
    <w:pPr>
      <w:widowControl/>
      <w:spacing w:before="100" w:beforeAutospacing="1" w:after="100" w:afterAutospacing="1"/>
      <w:jc w:val="left"/>
    </w:pPr>
    <w:rPr>
      <w:b/>
      <w:bCs/>
      <w:kern w:val="0"/>
      <w:sz w:val="32"/>
      <w:szCs w:val="32"/>
    </w:rPr>
  </w:style>
  <w:style w:type="paragraph" w:customStyle="1" w:styleId="13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9">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40">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2">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3">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45">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4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47">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1">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2">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4">
    <w:name w:val="合同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5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7">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8">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59">
    <w:name w:val="Char Char Char Char Char Char Char Char Char Char"/>
    <w:basedOn w:val="1"/>
    <w:qFormat/>
    <w:uiPriority w:val="0"/>
    <w:rPr>
      <w:rFonts w:ascii="Tahoma" w:hAnsi="Tahoma" w:cs="Tahoma"/>
      <w:sz w:val="24"/>
      <w:szCs w:val="24"/>
    </w:rPr>
  </w:style>
  <w:style w:type="paragraph" w:customStyle="1" w:styleId="16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paragraph" w:customStyle="1" w:styleId="161">
    <w:name w:val="样式1"/>
    <w:basedOn w:val="1"/>
    <w:qFormat/>
    <w:uiPriority w:val="0"/>
    <w:pPr>
      <w:adjustRightInd w:val="0"/>
      <w:spacing w:before="120" w:after="120" w:line="120" w:lineRule="exact"/>
    </w:pPr>
    <w:rPr>
      <w:color w:val="FF00FF"/>
      <w:kern w:val="0"/>
      <w:sz w:val="24"/>
    </w:rPr>
  </w:style>
  <w:style w:type="paragraph" w:customStyle="1" w:styleId="162">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3">
    <w:name w:val="列出段落2"/>
    <w:basedOn w:val="1"/>
    <w:qFormat/>
    <w:uiPriority w:val="0"/>
    <w:pPr>
      <w:widowControl/>
      <w:ind w:firstLine="420" w:firstLineChars="200"/>
      <w:jc w:val="left"/>
    </w:pPr>
    <w:rPr>
      <w:kern w:val="0"/>
      <w:sz w:val="24"/>
    </w:rPr>
  </w:style>
  <w:style w:type="paragraph" w:customStyle="1" w:styleId="164">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6">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7">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68">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69">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0">
    <w:name w:val="_Style 80"/>
    <w:semiHidden/>
    <w:qFormat/>
    <w:uiPriority w:val="99"/>
    <w:rPr>
      <w:rFonts w:ascii="Times New Roman" w:hAnsi="Times New Roman" w:eastAsia="宋体" w:cs="Times New Roman"/>
      <w:kern w:val="2"/>
      <w:sz w:val="21"/>
      <w:lang w:val="en-US" w:eastAsia="zh-CN" w:bidi="ar-SA"/>
    </w:rPr>
  </w:style>
  <w:style w:type="paragraph" w:customStyle="1" w:styleId="171">
    <w:name w:val="资料表"/>
    <w:basedOn w:val="135"/>
    <w:qFormat/>
    <w:uiPriority w:val="0"/>
    <w:rPr>
      <w:rFonts w:ascii="Times New Roman"/>
    </w:rPr>
  </w:style>
  <w:style w:type="paragraph" w:customStyle="1" w:styleId="172">
    <w:name w:val="正文文本缩进1"/>
    <w:basedOn w:val="1"/>
    <w:qFormat/>
    <w:uiPriority w:val="0"/>
    <w:pPr>
      <w:spacing w:line="360" w:lineRule="auto"/>
      <w:ind w:left="540" w:leftChars="257" w:firstLine="360" w:firstLineChars="150"/>
    </w:pPr>
    <w:rPr>
      <w:sz w:val="24"/>
    </w:rPr>
  </w:style>
  <w:style w:type="paragraph" w:customStyle="1" w:styleId="173">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7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7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6">
    <w:name w:val="彩色列表 - 着色 11"/>
    <w:basedOn w:val="1"/>
    <w:qFormat/>
    <w:uiPriority w:val="99"/>
    <w:pPr>
      <w:ind w:firstLine="420" w:firstLineChars="200"/>
    </w:pPr>
  </w:style>
  <w:style w:type="paragraph" w:customStyle="1" w:styleId="177">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8">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79">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80">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81">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82">
    <w:name w:val="默认段落字体 Para Char Char Char Char Char Char Char"/>
    <w:basedOn w:val="1"/>
    <w:qFormat/>
    <w:uiPriority w:val="0"/>
    <w:rPr>
      <w:rFonts w:ascii="Tahoma" w:hAnsi="Tahoma"/>
      <w:sz w:val="24"/>
    </w:rPr>
  </w:style>
  <w:style w:type="paragraph" w:customStyle="1" w:styleId="183">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84">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85">
    <w:name w:val="字元 字元"/>
    <w:basedOn w:val="1"/>
    <w:qFormat/>
    <w:uiPriority w:val="0"/>
    <w:rPr>
      <w:rFonts w:ascii="仿宋_GB2312" w:eastAsia="仿宋_GB2312"/>
      <w:b/>
      <w:sz w:val="32"/>
      <w:szCs w:val="32"/>
    </w:rPr>
  </w:style>
  <w:style w:type="paragraph" w:customStyle="1" w:styleId="186">
    <w:name w:val="投标书格式"/>
    <w:basedOn w:val="6"/>
    <w:qFormat/>
    <w:uiPriority w:val="0"/>
    <w:pPr>
      <w:widowControl/>
      <w:adjustRightInd/>
      <w:spacing w:before="360" w:line="240" w:lineRule="auto"/>
      <w:ind w:left="0" w:firstLine="0"/>
      <w:jc w:val="center"/>
      <w:textAlignment w:val="auto"/>
    </w:pPr>
    <w:rPr>
      <w:rFonts w:eastAsia="黑体"/>
      <w:sz w:val="30"/>
    </w:rPr>
  </w:style>
  <w:style w:type="paragraph" w:customStyle="1" w:styleId="187">
    <w:name w:val="默认段落字体 Para Char Char Char Char"/>
    <w:basedOn w:val="1"/>
    <w:qFormat/>
    <w:uiPriority w:val="0"/>
    <w:rPr>
      <w:szCs w:val="21"/>
    </w:rPr>
  </w:style>
  <w:style w:type="paragraph" w:customStyle="1" w:styleId="188">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9">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0">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9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92">
    <w:name w:val="修订版本号1"/>
    <w:qFormat/>
    <w:uiPriority w:val="0"/>
    <w:rPr>
      <w:rFonts w:ascii="Times New Roman" w:hAnsi="Times New Roman" w:eastAsia="宋体" w:cs="Times New Roman"/>
      <w:kern w:val="2"/>
      <w:sz w:val="21"/>
      <w:lang w:val="en-US" w:eastAsia="zh-CN" w:bidi="ar-SA"/>
    </w:rPr>
  </w:style>
  <w:style w:type="table" w:customStyle="1" w:styleId="193">
    <w:name w:val="网格表 1 浅色1"/>
    <w:basedOn w:val="47"/>
    <w:qFormat/>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194">
    <w:name w:val="List Paragraph"/>
    <w:basedOn w:val="1"/>
    <w:qFormat/>
    <w:uiPriority w:val="99"/>
    <w:pPr>
      <w:ind w:firstLine="420" w:firstLineChars="200"/>
    </w:pPr>
  </w:style>
  <w:style w:type="paragraph" w:customStyle="1" w:styleId="195">
    <w:name w:val="网格表 31"/>
    <w:basedOn w:val="4"/>
    <w:next w:val="1"/>
    <w:unhideWhenUsed/>
    <w:qFormat/>
    <w:uiPriority w:val="39"/>
    <w:pPr>
      <w:widowControl/>
      <w:adjustRightInd/>
      <w:spacing w:before="240" w:after="0" w:line="259" w:lineRule="auto"/>
      <w:jc w:val="left"/>
      <w:textAlignment w:val="auto"/>
      <w:outlineLvl w:val="9"/>
    </w:pPr>
    <w:rPr>
      <w:rFonts w:ascii="Calibri Light" w:hAnsi="Calibri Light" w:eastAsia="宋体" w:cs="Times New Roman"/>
      <w:b w:val="0"/>
      <w:color w:val="2E74B5"/>
      <w:kern w:val="0"/>
      <w:sz w:val="32"/>
      <w:szCs w:val="32"/>
    </w:rPr>
  </w:style>
  <w:style w:type="character" w:customStyle="1" w:styleId="196">
    <w:name w:val="font81"/>
    <w:basedOn w:val="49"/>
    <w:qFormat/>
    <w:uiPriority w:val="0"/>
    <w:rPr>
      <w:rFonts w:hint="eastAsia" w:ascii="微软雅黑" w:hAnsi="微软雅黑" w:eastAsia="微软雅黑" w:cs="微软雅黑"/>
      <w:b/>
      <w:color w:val="FF0000"/>
      <w:sz w:val="18"/>
      <w:szCs w:val="18"/>
      <w:u w:val="none"/>
    </w:rPr>
  </w:style>
  <w:style w:type="character" w:customStyle="1" w:styleId="197">
    <w:name w:val="font21"/>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4.xml"/><Relationship Id="rId15" Type="http://schemas.openxmlformats.org/officeDocument/2006/relationships/footer" Target="footer3.xml"/><Relationship Id="rId14" Type="http://schemas.openxmlformats.org/officeDocument/2006/relationships/header" Target="header10.xml"/><Relationship Id="rId13" Type="http://schemas.openxmlformats.org/officeDocument/2006/relationships/header" Target="header9.xml"/><Relationship Id="rId12" Type="http://schemas.openxmlformats.org/officeDocument/2006/relationships/header" Target="header8.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54</Pages>
  <Words>3096</Words>
  <Characters>17649</Characters>
  <Lines>147</Lines>
  <Paragraphs>41</Paragraphs>
  <TotalTime>0</TotalTime>
  <ScaleCrop>false</ScaleCrop>
  <LinksUpToDate>false</LinksUpToDate>
  <CharactersWithSpaces>20704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2020-12-23T09:51:00Z</dcterms:created>
  <dc:creator>郑晓伟</dc:creator>
  <cp:lastModifiedBy>Administrator</cp:lastModifiedBy>
  <cp:lastPrinted>2020-11-23T07:10:00Z</cp:lastPrinted>
  <dcterms:modified xsi:type="dcterms:W3CDTF">2024-07-25T03:22:15Z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7E40A2EAEA17499E82686337AEDDC15A</vt:lpwstr>
  </property>
</Properties>
</file>