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0" w:after="0" w:line="560" w:lineRule="exact"/>
        <w:ind w:left="0" w:firstLine="0"/>
        <w:jc w:val="center"/>
        <w:rPr>
          <w:rFonts w:ascii="宋体" w:hAnsi="宋体"/>
          <w:b w:val="0"/>
          <w:color w:val="0C0C0C"/>
          <w:kern w:val="44"/>
          <w:sz w:val="44"/>
          <w:szCs w:val="44"/>
        </w:rPr>
      </w:pPr>
      <w:bookmarkStart w:id="0" w:name="_Toc53991829"/>
      <w:r>
        <w:rPr>
          <w:rFonts w:hint="eastAsia" w:ascii="宋体" w:hAnsi="宋体"/>
          <w:b w:val="0"/>
          <w:color w:val="0C0C0C"/>
          <w:kern w:val="44"/>
          <w:sz w:val="44"/>
          <w:szCs w:val="44"/>
        </w:rPr>
        <w:t>比选公告</w:t>
      </w:r>
      <w:bookmarkEnd w:id="0"/>
    </w:p>
    <w:p>
      <w:pPr>
        <w:spacing w:line="560" w:lineRule="exact"/>
        <w:ind w:firstLine="480" w:firstLineChars="200"/>
        <w:jc w:val="left"/>
        <w:rPr>
          <w:rFonts w:hint="eastAsia" w:ascii="宋体" w:hAnsi="宋体" w:cs="宋体"/>
          <w:color w:val="0C0C0C"/>
          <w:sz w:val="24"/>
          <w:szCs w:val="24"/>
        </w:rPr>
      </w:pPr>
      <w:r>
        <w:rPr>
          <w:rFonts w:hint="eastAsia" w:ascii="宋体" w:hAnsi="宋体" w:cs="宋体"/>
          <w:color w:val="0C0C0C"/>
          <w:sz w:val="24"/>
          <w:szCs w:val="24"/>
        </w:rPr>
        <w:t>深圳地铁置业集团有限公司拟对</w:t>
      </w:r>
      <w:r>
        <w:rPr>
          <w:rFonts w:hint="eastAsia" w:ascii="宋体" w:hAnsi="宋体" w:cs="宋体"/>
          <w:b/>
          <w:bCs/>
          <w:color w:val="0C0C0C"/>
          <w:sz w:val="24"/>
          <w:szCs w:val="22"/>
          <w:u w:val="single"/>
        </w:rPr>
        <w:t>深铁置业2021年客户满意度调研</w:t>
      </w:r>
      <w:r>
        <w:rPr>
          <w:rFonts w:hint="eastAsia" w:ascii="宋体" w:hAnsi="宋体" w:cs="宋体"/>
          <w:b/>
          <w:color w:val="0C0C0C"/>
          <w:sz w:val="24"/>
          <w:szCs w:val="24"/>
        </w:rPr>
        <w:t>（以下简称“本项目”）</w:t>
      </w:r>
      <w:r>
        <w:rPr>
          <w:rFonts w:hint="eastAsia" w:ascii="宋体" w:hAnsi="宋体" w:cs="宋体"/>
          <w:color w:val="0C0C0C"/>
          <w:sz w:val="24"/>
          <w:szCs w:val="24"/>
        </w:rPr>
        <w:t>进行公开比选，欢迎符合本比选公告公布资质要求的公司参选。</w:t>
      </w:r>
    </w:p>
    <w:p>
      <w:pPr>
        <w:pStyle w:val="4"/>
        <w:spacing w:line="560" w:lineRule="exact"/>
        <w:ind w:firstLine="482" w:firstLineChars="200"/>
        <w:rPr>
          <w:rFonts w:hint="eastAsia" w:hAnsi="宋体" w:cs="宋体"/>
          <w:b/>
          <w:color w:val="0C0C0C"/>
          <w:sz w:val="24"/>
          <w:szCs w:val="24"/>
        </w:rPr>
      </w:pPr>
      <w:r>
        <w:rPr>
          <w:rFonts w:hint="eastAsia" w:hAnsi="宋体" w:cs="宋体"/>
          <w:b/>
          <w:color w:val="0C0C0C"/>
          <w:sz w:val="24"/>
          <w:szCs w:val="24"/>
        </w:rPr>
        <w:t>一、项目名称</w:t>
      </w:r>
    </w:p>
    <w:p>
      <w:pPr>
        <w:pStyle w:val="4"/>
        <w:spacing w:line="560" w:lineRule="exact"/>
        <w:ind w:firstLine="480" w:firstLineChars="200"/>
        <w:rPr>
          <w:rFonts w:hint="eastAsia" w:hAnsi="宋体" w:cs="宋体"/>
          <w:bCs/>
          <w:color w:val="0C0C0C"/>
          <w:sz w:val="24"/>
          <w:szCs w:val="22"/>
        </w:rPr>
      </w:pPr>
      <w:r>
        <w:rPr>
          <w:rFonts w:hint="eastAsia" w:hAnsi="宋体" w:cs="宋体"/>
          <w:bCs/>
          <w:color w:val="0C0C0C"/>
          <w:sz w:val="24"/>
          <w:szCs w:val="22"/>
        </w:rPr>
        <w:t>深铁置业2021年客户满意度调研</w:t>
      </w:r>
    </w:p>
    <w:p>
      <w:pPr>
        <w:pStyle w:val="4"/>
        <w:spacing w:line="560" w:lineRule="exact"/>
        <w:ind w:firstLine="482" w:firstLineChars="200"/>
        <w:rPr>
          <w:rFonts w:hint="eastAsia" w:hAnsi="宋体" w:cs="宋体"/>
          <w:b/>
          <w:color w:val="0C0C0C"/>
          <w:sz w:val="24"/>
          <w:szCs w:val="24"/>
        </w:rPr>
      </w:pPr>
      <w:r>
        <w:rPr>
          <w:rFonts w:hint="eastAsia" w:hAnsi="宋体" w:cs="宋体"/>
          <w:b/>
          <w:color w:val="0C0C0C"/>
          <w:sz w:val="24"/>
          <w:szCs w:val="24"/>
        </w:rPr>
        <w:t>二、项目概况</w:t>
      </w:r>
    </w:p>
    <w:p>
      <w:pPr>
        <w:pStyle w:val="4"/>
        <w:spacing w:line="560" w:lineRule="exact"/>
        <w:ind w:firstLine="480" w:firstLineChars="200"/>
        <w:rPr>
          <w:rFonts w:hint="eastAsia" w:hAnsi="宋体" w:cs="宋体"/>
          <w:bCs/>
          <w:color w:val="0C0C0C"/>
          <w:sz w:val="24"/>
          <w:szCs w:val="24"/>
        </w:rPr>
      </w:pPr>
      <w:r>
        <w:rPr>
          <w:rFonts w:hint="eastAsia" w:hAnsi="宋体" w:cs="宋体"/>
          <w:bCs/>
          <w:color w:val="0C0C0C"/>
          <w:sz w:val="24"/>
          <w:szCs w:val="24"/>
        </w:rPr>
        <w:t xml:space="preserve"> </w:t>
      </w:r>
      <w:bookmarkStart w:id="1" w:name="_Hlk38657818"/>
      <w:r>
        <w:rPr>
          <w:rFonts w:hint="eastAsia" w:hAnsi="宋体" w:cs="宋体"/>
          <w:bCs/>
          <w:color w:val="0C0C0C"/>
          <w:sz w:val="24"/>
          <w:szCs w:val="24"/>
        </w:rPr>
        <w:t>满意度调研工作涉及10个项目20个子项目，户数约10366户</w:t>
      </w:r>
      <w:bookmarkEnd w:id="1"/>
      <w:r>
        <w:rPr>
          <w:rFonts w:hint="eastAsia" w:hAnsi="宋体" w:cs="宋体"/>
          <w:bCs/>
          <w:color w:val="0C0C0C"/>
          <w:sz w:val="24"/>
          <w:szCs w:val="24"/>
        </w:rPr>
        <w:t>。</w:t>
      </w:r>
    </w:p>
    <w:p>
      <w:pPr>
        <w:pStyle w:val="4"/>
        <w:spacing w:line="560" w:lineRule="exact"/>
        <w:ind w:firstLine="480" w:firstLineChars="200"/>
        <w:rPr>
          <w:rFonts w:hint="eastAsia" w:hAnsi="宋体" w:cs="宋体"/>
          <w:bCs/>
          <w:color w:val="0C0C0C"/>
          <w:sz w:val="24"/>
          <w:szCs w:val="24"/>
        </w:rPr>
      </w:pPr>
      <w:r>
        <w:rPr>
          <w:rFonts w:hint="eastAsia" w:hAnsi="宋体" w:cs="宋体"/>
          <w:bCs/>
          <w:color w:val="0C0C0C"/>
          <w:sz w:val="24"/>
          <w:szCs w:val="24"/>
        </w:rPr>
        <w:t>（一）老业主小区（入伙两年以上）： 蛇口西项目（山海津、山海韵）、前海时代（9号地、10号地）、塘朗城（东区住宅、西区写字楼A座、B座和C座公寓）、汇德大厦、地铁锦上花园（一期、二期、四期）、汇隆中心（公寓、LOFT）；</w:t>
      </w:r>
    </w:p>
    <w:p>
      <w:pPr>
        <w:pStyle w:val="4"/>
        <w:spacing w:line="560" w:lineRule="exact"/>
        <w:ind w:firstLine="480" w:firstLineChars="200"/>
        <w:rPr>
          <w:rFonts w:hint="eastAsia" w:hAnsi="宋体" w:cs="宋体"/>
          <w:bCs/>
          <w:color w:val="0C0C0C"/>
          <w:sz w:val="24"/>
          <w:szCs w:val="24"/>
        </w:rPr>
      </w:pPr>
      <w:r>
        <w:rPr>
          <w:rFonts w:hint="eastAsia" w:hAnsi="宋体" w:cs="宋体"/>
          <w:bCs/>
          <w:color w:val="0C0C0C"/>
          <w:sz w:val="24"/>
          <w:szCs w:val="24"/>
        </w:rPr>
        <w:t>（二）稳定期业主小区（入伙1-2年）：深湾汇云中心一期公寓；</w:t>
      </w:r>
    </w:p>
    <w:p>
      <w:pPr>
        <w:pStyle w:val="4"/>
        <w:spacing w:line="560" w:lineRule="exact"/>
        <w:ind w:firstLine="480" w:firstLineChars="200"/>
        <w:rPr>
          <w:rFonts w:hint="eastAsia" w:hAnsi="宋体" w:cs="宋体"/>
          <w:bCs/>
          <w:color w:val="0C0C0C"/>
          <w:sz w:val="24"/>
          <w:szCs w:val="24"/>
        </w:rPr>
      </w:pPr>
      <w:r>
        <w:rPr>
          <w:rFonts w:hint="eastAsia" w:hAnsi="宋体" w:cs="宋体"/>
          <w:bCs/>
          <w:color w:val="0C0C0C"/>
          <w:sz w:val="24"/>
          <w:szCs w:val="24"/>
        </w:rPr>
        <w:t>（三）磨合期业主小区（入伙1年内）：深湾汇云中心四期写字楼、地铁锦上花园三期；</w:t>
      </w:r>
    </w:p>
    <w:p>
      <w:pPr>
        <w:pStyle w:val="4"/>
        <w:spacing w:line="560" w:lineRule="exact"/>
        <w:ind w:firstLine="480" w:firstLineChars="200"/>
        <w:rPr>
          <w:rFonts w:hint="eastAsia" w:hAnsi="宋体" w:cs="宋体"/>
          <w:bCs/>
          <w:color w:val="0C0C0C"/>
          <w:sz w:val="24"/>
          <w:szCs w:val="24"/>
        </w:rPr>
      </w:pPr>
      <w:r>
        <w:rPr>
          <w:rFonts w:hint="eastAsia" w:hAnsi="宋体" w:cs="宋体"/>
          <w:bCs/>
          <w:color w:val="0C0C0C"/>
          <w:sz w:val="24"/>
          <w:szCs w:val="24"/>
        </w:rPr>
        <w:t>（四）准业主项目（神秘客户调查）：深铁瑞城、深铁珑境、深铁懿府1号地块项目。</w:t>
      </w:r>
    </w:p>
    <w:p>
      <w:pPr>
        <w:pStyle w:val="4"/>
        <w:spacing w:line="560" w:lineRule="exact"/>
        <w:ind w:right="-126" w:rightChars="-60" w:firstLine="482" w:firstLineChars="200"/>
        <w:rPr>
          <w:rFonts w:hint="eastAsia" w:hAnsi="宋体" w:cs="宋体"/>
          <w:b/>
          <w:color w:val="0C0C0C"/>
          <w:sz w:val="24"/>
          <w:szCs w:val="24"/>
        </w:rPr>
      </w:pPr>
      <w:r>
        <w:rPr>
          <w:rFonts w:hint="eastAsia" w:hAnsi="宋体" w:cs="宋体"/>
          <w:b/>
          <w:color w:val="0C0C0C"/>
          <w:sz w:val="24"/>
          <w:szCs w:val="24"/>
        </w:rPr>
        <w:t>三、比选内容</w:t>
      </w:r>
    </w:p>
    <w:p>
      <w:pPr>
        <w:pStyle w:val="4"/>
        <w:spacing w:line="560" w:lineRule="exact"/>
        <w:ind w:firstLine="480" w:firstLineChars="200"/>
        <w:rPr>
          <w:rFonts w:hint="eastAsia" w:hAnsi="宋体" w:cs="宋体"/>
          <w:bCs/>
          <w:color w:val="0C0C0C"/>
          <w:sz w:val="24"/>
          <w:szCs w:val="24"/>
        </w:rPr>
      </w:pPr>
      <w:r>
        <w:rPr>
          <w:rFonts w:hint="eastAsia" w:hAnsi="宋体" w:cs="宋体"/>
          <w:bCs/>
          <w:color w:val="0C0C0C"/>
          <w:sz w:val="24"/>
          <w:szCs w:val="24"/>
        </w:rPr>
        <w:t xml:space="preserve">2021年客户满意度调研具体工作内容包括但不限于： </w:t>
      </w:r>
    </w:p>
    <w:p>
      <w:pPr>
        <w:pStyle w:val="4"/>
        <w:spacing w:line="560" w:lineRule="exact"/>
        <w:ind w:firstLine="480" w:firstLineChars="200"/>
        <w:rPr>
          <w:rFonts w:hint="eastAsia" w:hAnsi="宋体" w:cs="宋体"/>
          <w:bCs/>
          <w:color w:val="0C0C0C"/>
          <w:sz w:val="24"/>
          <w:szCs w:val="24"/>
        </w:rPr>
      </w:pPr>
      <w:r>
        <w:rPr>
          <w:rFonts w:hint="eastAsia" w:hAnsi="宋体" w:cs="宋体"/>
          <w:bCs/>
          <w:color w:val="0C0C0C"/>
          <w:sz w:val="24"/>
          <w:szCs w:val="24"/>
        </w:rPr>
        <w:t>（一）调研范围及要求</w:t>
      </w:r>
    </w:p>
    <w:p>
      <w:pPr>
        <w:pStyle w:val="4"/>
        <w:spacing w:line="560" w:lineRule="exact"/>
        <w:ind w:firstLine="480" w:firstLineChars="200"/>
        <w:rPr>
          <w:rFonts w:hint="eastAsia" w:hAnsi="宋体" w:cs="宋体"/>
          <w:bCs/>
          <w:color w:val="0C0C0C"/>
          <w:sz w:val="24"/>
          <w:szCs w:val="24"/>
        </w:rPr>
      </w:pPr>
      <w:bookmarkStart w:id="2" w:name="_Hlk38658282"/>
      <w:r>
        <w:rPr>
          <w:rFonts w:hint="eastAsia" w:hAnsi="宋体" w:cs="宋体"/>
          <w:bCs/>
          <w:color w:val="0C0C0C"/>
          <w:sz w:val="24"/>
          <w:szCs w:val="24"/>
        </w:rPr>
        <w:t>1.对除准业主之外的项目进行电话调研，共计17个子项目（详见调研方案）；业主数量10366户，抽样比例（有效样本量）不低总户数的8%。</w:t>
      </w:r>
    </w:p>
    <w:p>
      <w:pPr>
        <w:pStyle w:val="4"/>
        <w:spacing w:line="560" w:lineRule="exact"/>
        <w:ind w:firstLine="480" w:firstLineChars="200"/>
        <w:rPr>
          <w:rFonts w:hint="eastAsia" w:hAnsi="宋体" w:cs="宋体"/>
          <w:bCs/>
          <w:color w:val="0C0C0C"/>
          <w:sz w:val="24"/>
          <w:szCs w:val="24"/>
        </w:rPr>
      </w:pPr>
      <w:r>
        <w:rPr>
          <w:rFonts w:hint="eastAsia" w:hAnsi="宋体" w:cs="宋体"/>
          <w:bCs/>
          <w:color w:val="0C0C0C"/>
          <w:sz w:val="24"/>
          <w:szCs w:val="24"/>
        </w:rPr>
        <w:t>2.对除准业主之外的项目进行入户调研，共计17个子项目（详见调研方案）；业主数量10366户，抽样比例（有效样本量）不低总户数的2%。</w:t>
      </w:r>
    </w:p>
    <w:p>
      <w:pPr>
        <w:pStyle w:val="4"/>
        <w:spacing w:line="560" w:lineRule="exact"/>
        <w:ind w:firstLine="480" w:firstLineChars="200"/>
        <w:rPr>
          <w:rFonts w:hint="eastAsia" w:hAnsi="宋体" w:cs="宋体"/>
          <w:bCs/>
          <w:color w:val="0C0C0C"/>
          <w:sz w:val="24"/>
          <w:szCs w:val="24"/>
        </w:rPr>
      </w:pPr>
      <w:r>
        <w:rPr>
          <w:rFonts w:hint="eastAsia" w:hAnsi="宋体" w:cs="宋体"/>
          <w:bCs/>
          <w:color w:val="0C0C0C"/>
          <w:sz w:val="24"/>
          <w:szCs w:val="24"/>
        </w:rPr>
        <w:t>3.对深铁瑞城、深铁珑境、深铁懿府1号地块进行神秘客户调研，主要为调研现场销售管理服务。</w:t>
      </w:r>
      <w:bookmarkEnd w:id="2"/>
    </w:p>
    <w:p>
      <w:pPr>
        <w:pStyle w:val="4"/>
        <w:spacing w:line="560" w:lineRule="exact"/>
        <w:ind w:firstLine="480" w:firstLineChars="200"/>
        <w:rPr>
          <w:rFonts w:hint="eastAsia" w:hAnsi="宋体" w:cs="宋体"/>
          <w:bCs/>
          <w:color w:val="0C0C0C"/>
          <w:sz w:val="24"/>
          <w:szCs w:val="24"/>
        </w:rPr>
      </w:pPr>
      <w:r>
        <w:rPr>
          <w:rFonts w:hint="eastAsia" w:hAnsi="宋体" w:cs="宋体"/>
          <w:bCs/>
          <w:color w:val="0C0C0C"/>
          <w:sz w:val="24"/>
          <w:szCs w:val="24"/>
        </w:rPr>
        <w:t>（二）服务内容</w:t>
      </w:r>
    </w:p>
    <w:p>
      <w:pPr>
        <w:pStyle w:val="4"/>
        <w:spacing w:line="560" w:lineRule="exact"/>
        <w:ind w:firstLine="480" w:firstLineChars="200"/>
        <w:rPr>
          <w:rFonts w:hint="eastAsia" w:hAnsi="宋体" w:cs="宋体"/>
          <w:bCs/>
          <w:color w:val="0C0C0C"/>
          <w:sz w:val="24"/>
          <w:szCs w:val="24"/>
        </w:rPr>
      </w:pPr>
      <w:bookmarkStart w:id="3" w:name="_Hlk38658352"/>
      <w:r>
        <w:rPr>
          <w:rFonts w:hint="eastAsia" w:hAnsi="宋体" w:cs="宋体"/>
          <w:bCs/>
          <w:color w:val="0C0C0C"/>
          <w:sz w:val="24"/>
          <w:szCs w:val="24"/>
        </w:rPr>
        <w:t>1．满意度调研工作内容，包括但不限于：总体满意度、推荐意向、再购意向、销售服务、收楼交房、小区配套、小区环境和规划、房屋设计、房屋质量、维修服务、物业管理、投诉处理、综合评价等。</w:t>
      </w:r>
    </w:p>
    <w:p>
      <w:pPr>
        <w:pStyle w:val="4"/>
        <w:spacing w:line="560" w:lineRule="exact"/>
        <w:ind w:firstLine="480" w:firstLineChars="200"/>
        <w:rPr>
          <w:rFonts w:hint="eastAsia" w:hAnsi="宋体" w:cs="宋体"/>
          <w:bCs/>
          <w:color w:val="0C0C0C"/>
          <w:sz w:val="24"/>
          <w:szCs w:val="24"/>
        </w:rPr>
      </w:pPr>
      <w:r>
        <w:rPr>
          <w:rFonts w:hint="eastAsia" w:hAnsi="宋体" w:cs="宋体"/>
          <w:bCs/>
          <w:color w:val="0C0C0C"/>
          <w:sz w:val="24"/>
          <w:szCs w:val="24"/>
        </w:rPr>
        <w:t>2．形成满意度调研报告。</w:t>
      </w:r>
      <w:bookmarkEnd w:id="3"/>
    </w:p>
    <w:p>
      <w:pPr>
        <w:pStyle w:val="4"/>
        <w:spacing w:line="560" w:lineRule="exact"/>
        <w:ind w:firstLine="482" w:firstLineChars="200"/>
        <w:rPr>
          <w:rFonts w:hint="eastAsia" w:hAnsi="宋体" w:cs="宋体"/>
          <w:b/>
          <w:color w:val="0C0C0C"/>
          <w:kern w:val="2"/>
          <w:sz w:val="24"/>
          <w:szCs w:val="24"/>
        </w:rPr>
      </w:pPr>
      <w:r>
        <w:rPr>
          <w:rFonts w:hint="eastAsia" w:hAnsi="宋体" w:cs="宋体"/>
          <w:b/>
          <w:color w:val="0C0C0C"/>
          <w:sz w:val="24"/>
          <w:szCs w:val="24"/>
        </w:rPr>
        <w:t>四、比选控制价格</w:t>
      </w:r>
    </w:p>
    <w:p>
      <w:pPr>
        <w:spacing w:line="560" w:lineRule="exact"/>
        <w:ind w:firstLine="427" w:firstLineChars="178"/>
        <w:rPr>
          <w:rFonts w:hint="eastAsia" w:ascii="宋体" w:hAnsi="宋体" w:cs="宋体"/>
          <w:color w:val="0C0C0C"/>
          <w:sz w:val="24"/>
          <w:szCs w:val="24"/>
        </w:rPr>
      </w:pPr>
      <w:r>
        <w:rPr>
          <w:rFonts w:hint="eastAsia" w:ascii="宋体" w:hAnsi="宋体" w:cs="宋体"/>
          <w:color w:val="0C0C0C"/>
          <w:sz w:val="24"/>
          <w:szCs w:val="24"/>
        </w:rPr>
        <w:t>本次投标报价总费用最高限价为人民币65.83万元（含税）</w:t>
      </w:r>
    </w:p>
    <w:p>
      <w:pPr>
        <w:pStyle w:val="4"/>
        <w:numPr>
          <w:ilvl w:val="0"/>
          <w:numId w:val="1"/>
        </w:numPr>
        <w:spacing w:line="560" w:lineRule="exact"/>
        <w:ind w:firstLine="482" w:firstLineChars="200"/>
        <w:rPr>
          <w:rFonts w:hint="eastAsia" w:hAnsi="宋体" w:cs="宋体"/>
          <w:b/>
          <w:color w:val="0C0C0C"/>
          <w:sz w:val="24"/>
          <w:szCs w:val="24"/>
        </w:rPr>
      </w:pPr>
      <w:r>
        <w:rPr>
          <w:rFonts w:hint="eastAsia" w:hAnsi="宋体" w:cs="宋体"/>
          <w:b/>
          <w:color w:val="0C0C0C"/>
          <w:sz w:val="24"/>
          <w:szCs w:val="24"/>
        </w:rPr>
        <w:t>参选人资格要求</w:t>
      </w:r>
    </w:p>
    <w:p>
      <w:pPr>
        <w:spacing w:line="560" w:lineRule="exact"/>
        <w:ind w:firstLine="427" w:firstLineChars="178"/>
        <w:rPr>
          <w:rFonts w:hint="eastAsia" w:ascii="宋体" w:hAnsi="宋体" w:cs="宋体"/>
          <w:color w:val="0C0C0C"/>
          <w:sz w:val="24"/>
          <w:szCs w:val="24"/>
        </w:rPr>
      </w:pPr>
      <w:r>
        <w:rPr>
          <w:rFonts w:hint="eastAsia" w:ascii="宋体" w:hAnsi="宋体" w:cs="宋体"/>
          <w:color w:val="0C0C0C"/>
          <w:sz w:val="24"/>
          <w:szCs w:val="24"/>
        </w:rPr>
        <w:t>（一）成立时间：公司必须是独立法人机构。公司注册成立时间不得晚于2018年1月1日，经营范围具备以下一项或多项：市场调查、企业管理咨询、企业管理顾问、市场信息咨询、房地产信息咨询、信息咨询、房地产咨询等。</w:t>
      </w:r>
    </w:p>
    <w:p>
      <w:pPr>
        <w:spacing w:line="560" w:lineRule="exact"/>
        <w:ind w:firstLine="427" w:firstLineChars="178"/>
        <w:rPr>
          <w:rFonts w:hint="eastAsia" w:ascii="宋体" w:hAnsi="宋体" w:cs="宋体"/>
          <w:color w:val="0C0C0C"/>
          <w:sz w:val="24"/>
          <w:szCs w:val="24"/>
        </w:rPr>
      </w:pPr>
      <w:r>
        <w:rPr>
          <w:rFonts w:hint="eastAsia" w:ascii="宋体" w:hAnsi="宋体" w:cs="宋体"/>
          <w:color w:val="0C0C0C"/>
          <w:sz w:val="24"/>
          <w:szCs w:val="24"/>
        </w:rPr>
        <w:t>（二）注册资金大于等于100万元人民币。</w:t>
      </w:r>
    </w:p>
    <w:p>
      <w:pPr>
        <w:spacing w:line="560" w:lineRule="exact"/>
        <w:ind w:firstLine="427" w:firstLineChars="178"/>
        <w:rPr>
          <w:rFonts w:hint="eastAsia" w:ascii="宋体" w:hAnsi="宋体" w:cs="宋体"/>
          <w:color w:val="0C0C0C"/>
          <w:sz w:val="24"/>
          <w:szCs w:val="24"/>
        </w:rPr>
      </w:pPr>
      <w:r>
        <w:rPr>
          <w:rFonts w:hint="eastAsia" w:ascii="宋体" w:hAnsi="宋体" w:cs="宋体"/>
          <w:color w:val="0C0C0C"/>
          <w:sz w:val="24"/>
          <w:szCs w:val="24"/>
        </w:rPr>
        <w:t>（三）2018年1月1日至今，至少开展过一个广东地区的房地产项目的客户满意度调研。</w:t>
      </w:r>
    </w:p>
    <w:p>
      <w:pPr>
        <w:spacing w:line="560" w:lineRule="exact"/>
        <w:ind w:firstLine="427" w:firstLineChars="178"/>
        <w:rPr>
          <w:rFonts w:hint="eastAsia" w:ascii="宋体" w:hAnsi="宋体" w:cs="宋体"/>
          <w:color w:val="0C0C0C"/>
          <w:sz w:val="24"/>
          <w:szCs w:val="24"/>
        </w:rPr>
      </w:pPr>
      <w:r>
        <w:rPr>
          <w:rFonts w:hint="eastAsia" w:ascii="宋体" w:hAnsi="宋体" w:cs="宋体"/>
          <w:color w:val="0C0C0C"/>
          <w:sz w:val="24"/>
          <w:szCs w:val="24"/>
        </w:rPr>
        <w:t>（四）报名时需按要求提供相关证明材料扫描复印件（原件备查），如合同关键页（名称、期限、签订日期等）、调研项目简介等文件，并加盖公章。</w:t>
      </w:r>
    </w:p>
    <w:p>
      <w:pPr>
        <w:spacing w:line="560" w:lineRule="exact"/>
        <w:ind w:firstLine="480" w:firstLineChars="200"/>
        <w:rPr>
          <w:rFonts w:hint="eastAsia" w:ascii="宋体" w:hAnsi="宋体"/>
          <w:kern w:val="0"/>
          <w:sz w:val="24"/>
          <w:szCs w:val="24"/>
        </w:rPr>
      </w:pPr>
      <w:r>
        <w:rPr>
          <w:rFonts w:hint="eastAsia" w:ascii="宋体" w:hAnsi="宋体" w:cs="宋体"/>
          <w:color w:val="0C0C0C"/>
          <w:sz w:val="24"/>
          <w:szCs w:val="24"/>
        </w:rPr>
        <w:t>（五）</w:t>
      </w:r>
      <w:r>
        <w:rPr>
          <w:rFonts w:hint="eastAsia" w:ascii="宋体" w:hAnsi="宋体"/>
          <w:kern w:val="0"/>
          <w:sz w:val="24"/>
          <w:szCs w:val="24"/>
        </w:rPr>
        <w:t>不被接受的情形：</w:t>
      </w:r>
    </w:p>
    <w:p>
      <w:pPr>
        <w:spacing w:line="560" w:lineRule="exact"/>
        <w:ind w:firstLine="480" w:firstLineChars="200"/>
        <w:rPr>
          <w:rFonts w:hint="eastAsia" w:ascii="宋体" w:hAnsi="宋体"/>
          <w:kern w:val="0"/>
          <w:sz w:val="24"/>
          <w:szCs w:val="24"/>
        </w:rPr>
      </w:pPr>
      <w:r>
        <w:rPr>
          <w:rFonts w:hint="eastAsia" w:ascii="宋体" w:hAnsi="宋体"/>
          <w:kern w:val="0"/>
          <w:sz w:val="24"/>
          <w:szCs w:val="24"/>
        </w:rPr>
        <w:t>1.自截标前三年以来在深圳市地铁集团有限公司或其下属直管单位存在违约行为的投标人；</w:t>
      </w:r>
    </w:p>
    <w:p>
      <w:pPr>
        <w:spacing w:line="560" w:lineRule="exact"/>
        <w:ind w:firstLine="480" w:firstLineChars="200"/>
        <w:rPr>
          <w:rFonts w:hint="eastAsia" w:ascii="宋体" w:hAnsi="宋体"/>
          <w:kern w:val="0"/>
          <w:sz w:val="24"/>
          <w:szCs w:val="24"/>
        </w:rPr>
      </w:pPr>
      <w:r>
        <w:rPr>
          <w:rFonts w:hint="eastAsia" w:ascii="宋体" w:hAnsi="宋体"/>
          <w:kern w:val="0"/>
          <w:sz w:val="24"/>
          <w:szCs w:val="24"/>
        </w:rPr>
        <w:t>2.自截标前三年以来与深圳市地铁集团有限公司或其下属直管单位有过诉讼、仲裁史，且其诉讼请求、仲裁申请或辩论理由没有被法院、仲裁庭支持的；</w:t>
      </w:r>
    </w:p>
    <w:p>
      <w:pPr>
        <w:spacing w:line="560" w:lineRule="exact"/>
        <w:ind w:firstLine="480" w:firstLineChars="200"/>
        <w:rPr>
          <w:rFonts w:hint="eastAsia" w:ascii="宋体" w:hAnsi="宋体"/>
          <w:kern w:val="0"/>
          <w:sz w:val="24"/>
          <w:szCs w:val="24"/>
        </w:rPr>
      </w:pPr>
      <w:r>
        <w:rPr>
          <w:rFonts w:hint="eastAsia" w:ascii="宋体" w:hAnsi="宋体"/>
          <w:kern w:val="0"/>
          <w:sz w:val="24"/>
          <w:szCs w:val="24"/>
        </w:rPr>
        <w:t>3.正与深圳市地铁集团有限公司及下属单位进行诉讼、仲裁，且在截标之日前未达成和解或纠纷化解的；</w:t>
      </w:r>
    </w:p>
    <w:p>
      <w:pPr>
        <w:spacing w:line="560" w:lineRule="exact"/>
        <w:ind w:firstLine="480" w:firstLineChars="200"/>
        <w:rPr>
          <w:rFonts w:hint="eastAsia" w:ascii="宋体" w:hAnsi="宋体"/>
          <w:kern w:val="0"/>
          <w:sz w:val="24"/>
          <w:szCs w:val="24"/>
        </w:rPr>
      </w:pPr>
      <w:r>
        <w:rPr>
          <w:rFonts w:hint="eastAsia" w:ascii="宋体" w:hAnsi="宋体"/>
          <w:kern w:val="0"/>
          <w:sz w:val="24"/>
          <w:szCs w:val="24"/>
        </w:rPr>
        <w:t>4.在参选（询价）活动（包括在深圳地铁项目）中因串通投标（报价）被暂停投标（报价）资格期间；或涉嫌串通参选（报价）并正在接受主管部门调查的；</w:t>
      </w:r>
    </w:p>
    <w:p>
      <w:pPr>
        <w:spacing w:line="560" w:lineRule="exact"/>
        <w:ind w:firstLine="480" w:firstLineChars="200"/>
        <w:rPr>
          <w:rFonts w:hint="eastAsia" w:ascii="宋体" w:hAnsi="宋体"/>
          <w:kern w:val="0"/>
          <w:sz w:val="24"/>
          <w:szCs w:val="24"/>
        </w:rPr>
      </w:pPr>
      <w:r>
        <w:rPr>
          <w:rFonts w:hint="eastAsia" w:ascii="宋体" w:hAnsi="宋体"/>
          <w:kern w:val="0"/>
          <w:sz w:val="24"/>
          <w:szCs w:val="24"/>
        </w:rPr>
        <w:t>5.自截标前三年以来在深圳市地铁集团有限公司及下属单位在参选过程中、合同履约过程中有不良行为记录，或者有对深圳市地铁集团有限公司声誉造成损害行为的。</w:t>
      </w:r>
    </w:p>
    <w:p>
      <w:pPr>
        <w:spacing w:line="560" w:lineRule="exact"/>
        <w:ind w:firstLine="427" w:firstLineChars="178"/>
        <w:rPr>
          <w:rFonts w:hint="eastAsia" w:ascii="宋体" w:hAnsi="宋体" w:cs="宋体"/>
          <w:color w:val="0C0C0C"/>
          <w:sz w:val="24"/>
          <w:szCs w:val="24"/>
        </w:rPr>
      </w:pPr>
      <w:r>
        <w:rPr>
          <w:rFonts w:hint="eastAsia" w:ascii="宋体" w:hAnsi="宋体"/>
          <w:kern w:val="0"/>
          <w:sz w:val="24"/>
          <w:szCs w:val="24"/>
        </w:rPr>
        <w:t>（六）本项目不接受联合体参选：单位负责人为同一人或者存在控股、管理关系的不同单位，不得参加同一项目比选。</w:t>
      </w:r>
    </w:p>
    <w:p>
      <w:pPr>
        <w:suppressAutoHyphens/>
        <w:topLinePunct/>
        <w:snapToGrid w:val="0"/>
        <w:spacing w:line="560" w:lineRule="exact"/>
        <w:ind w:firstLine="547" w:firstLineChars="227"/>
        <w:contextualSpacing/>
        <w:rPr>
          <w:rFonts w:ascii="宋体" w:hAnsi="宋体"/>
          <w:b/>
          <w:color w:val="0C0C0C"/>
          <w:kern w:val="0"/>
          <w:sz w:val="24"/>
          <w:szCs w:val="24"/>
        </w:rPr>
      </w:pPr>
      <w:r>
        <w:rPr>
          <w:rFonts w:hint="eastAsia" w:ascii="宋体" w:hAnsi="宋体"/>
          <w:b/>
          <w:color w:val="0C0C0C"/>
          <w:kern w:val="0"/>
          <w:sz w:val="24"/>
          <w:szCs w:val="24"/>
        </w:rPr>
        <w:t>六、比选时间、地点</w:t>
      </w:r>
    </w:p>
    <w:tbl>
      <w:tblPr>
        <w:tblStyle w:val="6"/>
        <w:tblW w:w="959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52"/>
        <w:gridCol w:w="1805"/>
        <w:gridCol w:w="2419"/>
        <w:gridCol w:w="462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1" w:hRule="atLeast"/>
          <w:jc w:val="center"/>
        </w:trPr>
        <w:tc>
          <w:tcPr>
            <w:tcW w:w="752" w:type="dxa"/>
            <w:tcBorders>
              <w:top w:val="single" w:color="auto" w:sz="4" w:space="0"/>
              <w:left w:val="single" w:color="auto" w:sz="4" w:space="0"/>
              <w:bottom w:val="single" w:color="auto" w:sz="4" w:space="0"/>
              <w:right w:val="single" w:color="auto" w:sz="4" w:space="0"/>
            </w:tcBorders>
            <w:shd w:val="clear" w:color="auto" w:fill="7E7E7E"/>
            <w:noWrap w:val="0"/>
            <w:vAlign w:val="bottom"/>
          </w:tcPr>
          <w:p>
            <w:pPr>
              <w:pStyle w:val="3"/>
              <w:adjustRightInd w:val="0"/>
              <w:snapToGrid w:val="0"/>
              <w:spacing w:line="560" w:lineRule="exact"/>
              <w:ind w:left="0" w:leftChars="0" w:firstLine="0" w:firstLineChars="0"/>
              <w:jc w:val="center"/>
              <w:rPr>
                <w:rFonts w:hint="eastAsia" w:ascii="宋体" w:hAnsi="宋体"/>
                <w:bCs/>
                <w:color w:val="0C0C0C"/>
                <w:kern w:val="2"/>
                <w:sz w:val="24"/>
                <w:szCs w:val="24"/>
              </w:rPr>
            </w:pPr>
            <w:r>
              <w:rPr>
                <w:rFonts w:hint="eastAsia" w:ascii="宋体" w:hAnsi="宋体"/>
                <w:bCs/>
                <w:color w:val="0C0C0C"/>
                <w:kern w:val="2"/>
                <w:sz w:val="24"/>
                <w:szCs w:val="24"/>
              </w:rPr>
              <w:t>序号</w:t>
            </w:r>
          </w:p>
        </w:tc>
        <w:tc>
          <w:tcPr>
            <w:tcW w:w="1805" w:type="dxa"/>
            <w:tcBorders>
              <w:top w:val="single" w:color="auto" w:sz="4" w:space="0"/>
              <w:left w:val="single" w:color="auto" w:sz="4" w:space="0"/>
              <w:bottom w:val="single" w:color="auto" w:sz="4" w:space="0"/>
              <w:right w:val="single" w:color="auto" w:sz="4" w:space="0"/>
            </w:tcBorders>
            <w:shd w:val="clear" w:color="auto" w:fill="7E7E7E"/>
            <w:noWrap w:val="0"/>
            <w:vAlign w:val="center"/>
          </w:tcPr>
          <w:p>
            <w:pPr>
              <w:pStyle w:val="3"/>
              <w:adjustRightInd w:val="0"/>
              <w:snapToGrid w:val="0"/>
              <w:spacing w:line="560" w:lineRule="exact"/>
              <w:ind w:left="0" w:leftChars="0" w:firstLine="0" w:firstLineChars="0"/>
              <w:jc w:val="center"/>
              <w:rPr>
                <w:rFonts w:hint="eastAsia" w:ascii="宋体" w:hAnsi="宋体"/>
                <w:bCs/>
                <w:color w:val="0C0C0C"/>
                <w:kern w:val="2"/>
                <w:sz w:val="24"/>
                <w:szCs w:val="24"/>
              </w:rPr>
            </w:pPr>
            <w:r>
              <w:rPr>
                <w:rFonts w:hint="eastAsia" w:ascii="宋体" w:hAnsi="宋体"/>
                <w:bCs/>
                <w:color w:val="0C0C0C"/>
                <w:kern w:val="2"/>
                <w:sz w:val="24"/>
                <w:szCs w:val="24"/>
              </w:rPr>
              <w:t>内  容</w:t>
            </w:r>
          </w:p>
        </w:tc>
        <w:tc>
          <w:tcPr>
            <w:tcW w:w="2419" w:type="dxa"/>
            <w:tcBorders>
              <w:top w:val="single" w:color="auto" w:sz="4" w:space="0"/>
              <w:left w:val="single" w:color="auto" w:sz="4" w:space="0"/>
              <w:bottom w:val="single" w:color="auto" w:sz="4" w:space="0"/>
              <w:right w:val="single" w:color="auto" w:sz="4" w:space="0"/>
            </w:tcBorders>
            <w:shd w:val="clear" w:color="auto" w:fill="7E7E7E"/>
            <w:noWrap w:val="0"/>
            <w:vAlign w:val="center"/>
          </w:tcPr>
          <w:p>
            <w:pPr>
              <w:pStyle w:val="3"/>
              <w:adjustRightInd w:val="0"/>
              <w:snapToGrid w:val="0"/>
              <w:spacing w:line="560" w:lineRule="exact"/>
              <w:ind w:left="0" w:leftChars="0" w:firstLine="0" w:firstLineChars="0"/>
              <w:jc w:val="center"/>
              <w:rPr>
                <w:rFonts w:hint="eastAsia" w:ascii="宋体" w:hAnsi="宋体"/>
                <w:bCs/>
                <w:color w:val="0C0C0C"/>
                <w:kern w:val="2"/>
                <w:sz w:val="24"/>
                <w:szCs w:val="24"/>
              </w:rPr>
            </w:pPr>
            <w:r>
              <w:rPr>
                <w:rFonts w:hint="eastAsia" w:ascii="宋体" w:hAnsi="宋体"/>
                <w:bCs/>
                <w:color w:val="0C0C0C"/>
                <w:kern w:val="2"/>
                <w:sz w:val="24"/>
                <w:szCs w:val="24"/>
              </w:rPr>
              <w:t>时间安排</w:t>
            </w:r>
          </w:p>
        </w:tc>
        <w:tc>
          <w:tcPr>
            <w:tcW w:w="4620" w:type="dxa"/>
            <w:tcBorders>
              <w:top w:val="single" w:color="auto" w:sz="4" w:space="0"/>
              <w:left w:val="single" w:color="auto" w:sz="4" w:space="0"/>
              <w:bottom w:val="single" w:color="auto" w:sz="4" w:space="0"/>
              <w:right w:val="single" w:color="auto" w:sz="4" w:space="0"/>
            </w:tcBorders>
            <w:shd w:val="clear" w:color="auto" w:fill="7E7E7E"/>
            <w:noWrap w:val="0"/>
            <w:vAlign w:val="center"/>
          </w:tcPr>
          <w:p>
            <w:pPr>
              <w:pStyle w:val="3"/>
              <w:adjustRightInd w:val="0"/>
              <w:snapToGrid w:val="0"/>
              <w:spacing w:line="560" w:lineRule="exact"/>
              <w:ind w:left="0" w:leftChars="0" w:firstLine="0" w:firstLineChars="0"/>
              <w:jc w:val="center"/>
              <w:rPr>
                <w:rFonts w:hint="eastAsia" w:ascii="宋体" w:hAnsi="宋体"/>
                <w:bCs/>
                <w:color w:val="0C0C0C"/>
                <w:kern w:val="2"/>
                <w:sz w:val="24"/>
                <w:szCs w:val="24"/>
              </w:rPr>
            </w:pPr>
            <w:r>
              <w:rPr>
                <w:rFonts w:hint="eastAsia" w:ascii="宋体" w:hAnsi="宋体"/>
                <w:bCs/>
                <w:color w:val="0C0C0C"/>
                <w:kern w:val="2"/>
                <w:sz w:val="24"/>
                <w:szCs w:val="24"/>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52" w:hRule="atLeast"/>
          <w:jc w:val="center"/>
        </w:trPr>
        <w:tc>
          <w:tcPr>
            <w:tcW w:w="752"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spacing w:line="560" w:lineRule="exact"/>
              <w:ind w:left="0" w:leftChars="0" w:firstLine="0" w:firstLineChars="0"/>
              <w:jc w:val="center"/>
              <w:rPr>
                <w:rFonts w:ascii="仿宋_GB2312" w:hAnsi="楷体" w:eastAsia="仿宋_GB2312"/>
                <w:bCs/>
                <w:color w:val="0C0C0C"/>
                <w:kern w:val="2"/>
                <w:sz w:val="21"/>
                <w:szCs w:val="24"/>
              </w:rPr>
            </w:pPr>
            <w:r>
              <w:rPr>
                <w:rFonts w:hint="eastAsia" w:ascii="仿宋_GB2312" w:hAnsi="楷体" w:eastAsia="仿宋_GB2312"/>
                <w:bCs/>
                <w:color w:val="0C0C0C"/>
                <w:kern w:val="2"/>
                <w:sz w:val="21"/>
                <w:szCs w:val="24"/>
              </w:rPr>
              <w:t>1</w:t>
            </w:r>
          </w:p>
        </w:tc>
        <w:tc>
          <w:tcPr>
            <w:tcW w:w="1805"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spacing w:line="560" w:lineRule="exact"/>
              <w:ind w:left="0" w:leftChars="0" w:firstLine="0" w:firstLineChars="0"/>
              <w:jc w:val="center"/>
              <w:rPr>
                <w:rFonts w:ascii="宋体" w:hAnsi="宋体"/>
                <w:bCs/>
                <w:color w:val="0C0C0C"/>
                <w:kern w:val="2"/>
                <w:sz w:val="24"/>
                <w:szCs w:val="24"/>
              </w:rPr>
            </w:pPr>
            <w:r>
              <w:rPr>
                <w:rFonts w:hint="eastAsia" w:ascii="宋体" w:hAnsi="宋体"/>
                <w:bCs/>
                <w:color w:val="0C0C0C"/>
                <w:kern w:val="2"/>
                <w:sz w:val="24"/>
                <w:szCs w:val="24"/>
              </w:rPr>
              <w:t>发布比选公告</w:t>
            </w:r>
          </w:p>
          <w:p>
            <w:pPr>
              <w:pStyle w:val="3"/>
              <w:adjustRightInd w:val="0"/>
              <w:snapToGrid w:val="0"/>
              <w:spacing w:line="560" w:lineRule="exact"/>
              <w:ind w:left="0" w:leftChars="0" w:firstLine="0" w:firstLineChars="0"/>
              <w:jc w:val="center"/>
              <w:rPr>
                <w:rFonts w:ascii="宋体" w:hAnsi="宋体"/>
                <w:bCs/>
                <w:color w:val="0C0C0C"/>
                <w:kern w:val="2"/>
                <w:sz w:val="24"/>
                <w:szCs w:val="24"/>
              </w:rPr>
            </w:pPr>
            <w:r>
              <w:rPr>
                <w:rFonts w:hint="eastAsia" w:ascii="宋体" w:hAnsi="宋体"/>
                <w:bCs/>
                <w:color w:val="0C0C0C"/>
                <w:kern w:val="2"/>
                <w:sz w:val="24"/>
                <w:szCs w:val="24"/>
              </w:rPr>
              <w:t>（发标）</w:t>
            </w:r>
          </w:p>
        </w:tc>
        <w:tc>
          <w:tcPr>
            <w:tcW w:w="241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60" w:lineRule="exact"/>
              <w:jc w:val="center"/>
              <w:rPr>
                <w:rFonts w:ascii="宋体" w:hAnsi="宋体"/>
                <w:bCs/>
                <w:color w:val="0C0C0C"/>
                <w:sz w:val="24"/>
                <w:szCs w:val="24"/>
              </w:rPr>
            </w:pPr>
            <w:r>
              <w:rPr>
                <w:rFonts w:hint="eastAsia" w:ascii="宋体" w:hAnsi="宋体"/>
                <w:bCs/>
                <w:color w:val="0C0C0C"/>
                <w:sz w:val="24"/>
                <w:szCs w:val="24"/>
              </w:rPr>
              <w:t>7月</w:t>
            </w:r>
            <w:r>
              <w:rPr>
                <w:rFonts w:hint="eastAsia" w:ascii="宋体" w:hAnsi="宋体"/>
                <w:bCs/>
                <w:color w:val="0C0C0C"/>
                <w:sz w:val="24"/>
                <w:szCs w:val="24"/>
                <w:lang w:val="en-US" w:eastAsia="zh-CN"/>
              </w:rPr>
              <w:t>21</w:t>
            </w:r>
            <w:r>
              <w:rPr>
                <w:rFonts w:hint="eastAsia" w:ascii="宋体" w:hAnsi="宋体"/>
                <w:bCs/>
                <w:color w:val="0C0C0C"/>
                <w:sz w:val="24"/>
                <w:szCs w:val="24"/>
              </w:rPr>
              <w:t>日</w:t>
            </w:r>
          </w:p>
        </w:tc>
        <w:tc>
          <w:tcPr>
            <w:tcW w:w="4620"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spacing w:line="560" w:lineRule="exact"/>
              <w:ind w:left="484" w:leftChars="44" w:hanging="392" w:hangingChars="187"/>
              <w:jc w:val="left"/>
              <w:rPr>
                <w:rFonts w:ascii="宋体" w:hAnsi="宋体"/>
                <w:bCs/>
                <w:color w:val="0C0C0C"/>
                <w:kern w:val="2"/>
                <w:sz w:val="24"/>
                <w:szCs w:val="24"/>
              </w:rPr>
            </w:pPr>
            <w:r>
              <w:rPr>
                <w:rFonts w:hint="eastAsia" w:ascii="宋体" w:hAnsi="宋体" w:cs="宋体"/>
                <w:bCs/>
                <w:kern w:val="2"/>
                <w:sz w:val="21"/>
                <w:szCs w:val="21"/>
              </w:rPr>
              <w:t>深圳市地铁集团有限公司外网</w:t>
            </w:r>
            <w:r>
              <w:rPr>
                <w:rFonts w:hint="eastAsia" w:ascii="宋体" w:hAnsi="宋体" w:cs="宋体"/>
                <w:color w:val="000000"/>
                <w:sz w:val="21"/>
                <w:szCs w:val="21"/>
              </w:rPr>
              <w:t>、</w:t>
            </w:r>
            <w:r>
              <w:rPr>
                <w:rFonts w:hint="eastAsia" w:ascii="宋体" w:hAnsi="宋体" w:cs="宋体"/>
                <w:bCs/>
                <w:kern w:val="2"/>
                <w:sz w:val="21"/>
                <w:szCs w:val="21"/>
              </w:rPr>
              <w:t>国资委阳光采购平台、深铁置业微信订阅号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92" w:hRule="atLeast"/>
          <w:jc w:val="center"/>
        </w:trPr>
        <w:tc>
          <w:tcPr>
            <w:tcW w:w="752"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spacing w:line="560" w:lineRule="exact"/>
              <w:ind w:left="0" w:leftChars="0" w:firstLine="0" w:firstLineChars="0"/>
              <w:jc w:val="center"/>
              <w:rPr>
                <w:rFonts w:ascii="仿宋_GB2312" w:hAnsi="楷体" w:eastAsia="仿宋_GB2312"/>
                <w:bCs/>
                <w:color w:val="0C0C0C"/>
                <w:kern w:val="2"/>
                <w:sz w:val="21"/>
                <w:szCs w:val="24"/>
              </w:rPr>
            </w:pPr>
            <w:r>
              <w:rPr>
                <w:rFonts w:hint="eastAsia" w:ascii="仿宋_GB2312" w:hAnsi="楷体" w:eastAsia="仿宋_GB2312"/>
                <w:bCs/>
                <w:color w:val="0C0C0C"/>
                <w:kern w:val="2"/>
                <w:sz w:val="21"/>
                <w:szCs w:val="24"/>
              </w:rPr>
              <w:t>2</w:t>
            </w:r>
          </w:p>
        </w:tc>
        <w:tc>
          <w:tcPr>
            <w:tcW w:w="1805"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spacing w:line="560" w:lineRule="exact"/>
              <w:ind w:left="0" w:leftChars="0" w:firstLine="0" w:firstLineChars="0"/>
              <w:jc w:val="center"/>
              <w:rPr>
                <w:rFonts w:ascii="宋体" w:hAnsi="宋体"/>
                <w:bCs/>
                <w:color w:val="0C0C0C"/>
                <w:kern w:val="2"/>
                <w:sz w:val="24"/>
                <w:szCs w:val="24"/>
              </w:rPr>
            </w:pPr>
            <w:r>
              <w:rPr>
                <w:rFonts w:ascii="宋体" w:hAnsi="宋体"/>
                <w:bCs/>
                <w:color w:val="0C0C0C"/>
                <w:kern w:val="2"/>
                <w:sz w:val="24"/>
                <w:szCs w:val="24"/>
              </w:rPr>
              <w:t>截</w:t>
            </w:r>
            <w:r>
              <w:rPr>
                <w:rFonts w:hint="eastAsia" w:ascii="宋体" w:hAnsi="宋体"/>
                <w:bCs/>
                <w:color w:val="0C0C0C"/>
                <w:kern w:val="2"/>
                <w:sz w:val="24"/>
                <w:szCs w:val="24"/>
              </w:rPr>
              <w:t>标</w:t>
            </w:r>
          </w:p>
        </w:tc>
        <w:tc>
          <w:tcPr>
            <w:tcW w:w="241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60" w:lineRule="exact"/>
              <w:jc w:val="center"/>
              <w:rPr>
                <w:rFonts w:ascii="宋体" w:hAnsi="宋体"/>
                <w:bCs/>
                <w:color w:val="0C0C0C"/>
                <w:sz w:val="24"/>
                <w:szCs w:val="24"/>
              </w:rPr>
            </w:pPr>
            <w:r>
              <w:rPr>
                <w:rFonts w:hint="eastAsia" w:ascii="宋体" w:hAnsi="宋体"/>
                <w:bCs/>
                <w:color w:val="0C0C0C"/>
                <w:sz w:val="24"/>
                <w:szCs w:val="24"/>
                <w:lang w:val="en-US" w:eastAsia="zh-CN"/>
              </w:rPr>
              <w:t>8</w:t>
            </w:r>
            <w:r>
              <w:rPr>
                <w:rFonts w:ascii="宋体" w:hAnsi="宋体"/>
                <w:bCs/>
                <w:color w:val="0C0C0C"/>
                <w:sz w:val="24"/>
                <w:szCs w:val="24"/>
              </w:rPr>
              <w:t xml:space="preserve"> </w:t>
            </w:r>
            <w:r>
              <w:rPr>
                <w:rFonts w:hint="eastAsia" w:ascii="宋体" w:hAnsi="宋体"/>
                <w:bCs/>
                <w:color w:val="0C0C0C"/>
                <w:sz w:val="24"/>
                <w:szCs w:val="24"/>
              </w:rPr>
              <w:t>月</w:t>
            </w:r>
            <w:r>
              <w:rPr>
                <w:rFonts w:hint="eastAsia" w:ascii="宋体" w:hAnsi="宋体"/>
                <w:bCs/>
                <w:color w:val="0C0C0C"/>
                <w:sz w:val="24"/>
                <w:szCs w:val="24"/>
                <w:lang w:val="en-US" w:eastAsia="zh-CN"/>
              </w:rPr>
              <w:t>2</w:t>
            </w:r>
            <w:r>
              <w:rPr>
                <w:rFonts w:ascii="宋体" w:hAnsi="宋体"/>
                <w:bCs/>
                <w:color w:val="0C0C0C"/>
                <w:sz w:val="24"/>
                <w:szCs w:val="24"/>
              </w:rPr>
              <w:t>日</w:t>
            </w:r>
          </w:p>
          <w:p>
            <w:pPr>
              <w:adjustRightInd w:val="0"/>
              <w:snapToGrid w:val="0"/>
              <w:spacing w:line="560" w:lineRule="exact"/>
              <w:jc w:val="center"/>
              <w:rPr>
                <w:rFonts w:ascii="宋体" w:hAnsi="宋体"/>
                <w:bCs/>
                <w:color w:val="0C0C0C"/>
                <w:sz w:val="24"/>
                <w:szCs w:val="24"/>
              </w:rPr>
            </w:pPr>
            <w:r>
              <w:rPr>
                <w:rFonts w:hint="eastAsia" w:ascii="宋体" w:hAnsi="宋体"/>
                <w:bCs/>
                <w:color w:val="0C0C0C"/>
                <w:sz w:val="24"/>
                <w:szCs w:val="24"/>
              </w:rPr>
              <w:t>上午</w:t>
            </w:r>
            <w:r>
              <w:rPr>
                <w:rFonts w:hint="eastAsia" w:ascii="宋体" w:hAnsi="宋体"/>
                <w:bCs/>
                <w:color w:val="0C0C0C"/>
                <w:sz w:val="24"/>
                <w:szCs w:val="24"/>
                <w:lang w:val="en-US" w:eastAsia="zh-CN"/>
              </w:rPr>
              <w:t>10</w:t>
            </w:r>
            <w:r>
              <w:rPr>
                <w:rFonts w:hint="eastAsia" w:ascii="宋体" w:hAnsi="宋体"/>
                <w:bCs/>
                <w:color w:val="0C0C0C"/>
                <w:sz w:val="24"/>
                <w:szCs w:val="24"/>
              </w:rPr>
              <w:t>:00</w:t>
            </w:r>
          </w:p>
        </w:tc>
        <w:tc>
          <w:tcPr>
            <w:tcW w:w="4620"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spacing w:line="240" w:lineRule="auto"/>
              <w:ind w:left="484" w:leftChars="44" w:hanging="392" w:hangingChars="187"/>
              <w:jc w:val="left"/>
              <w:rPr>
                <w:rFonts w:hint="eastAsia" w:ascii="宋体" w:hAnsi="宋体" w:cs="宋体"/>
                <w:bCs/>
                <w:kern w:val="2"/>
                <w:sz w:val="21"/>
                <w:szCs w:val="21"/>
              </w:rPr>
            </w:pPr>
            <w:r>
              <w:rPr>
                <w:rFonts w:hint="eastAsia" w:ascii="宋体" w:hAnsi="宋体" w:cs="宋体"/>
                <w:bCs/>
                <w:kern w:val="2"/>
                <w:sz w:val="21"/>
                <w:szCs w:val="21"/>
              </w:rPr>
              <w:t>1.纸质版参选文件递交地点：地铁大厦会议室</w:t>
            </w:r>
          </w:p>
          <w:p>
            <w:pPr>
              <w:pStyle w:val="3"/>
              <w:adjustRightInd w:val="0"/>
              <w:snapToGrid w:val="0"/>
              <w:spacing w:line="240" w:lineRule="auto"/>
              <w:ind w:left="484" w:leftChars="44" w:hanging="392" w:hangingChars="187"/>
              <w:jc w:val="left"/>
              <w:rPr>
                <w:rFonts w:ascii="宋体" w:hAnsi="宋体" w:cs="宋体"/>
                <w:bCs/>
                <w:kern w:val="2"/>
                <w:sz w:val="21"/>
                <w:szCs w:val="21"/>
              </w:rPr>
            </w:pPr>
            <w:r>
              <w:rPr>
                <w:rFonts w:hint="eastAsia" w:ascii="宋体" w:hAnsi="宋体" w:cs="宋体"/>
                <w:bCs/>
                <w:kern w:val="2"/>
                <w:sz w:val="21"/>
                <w:szCs w:val="21"/>
              </w:rPr>
              <w:t>2.电子版参选文件递交平台：</w:t>
            </w:r>
          </w:p>
          <w:p>
            <w:pPr>
              <w:pStyle w:val="3"/>
              <w:adjustRightInd w:val="0"/>
              <w:snapToGrid w:val="0"/>
              <w:spacing w:line="240" w:lineRule="auto"/>
              <w:ind w:left="484" w:leftChars="44" w:hanging="392" w:hangingChars="187"/>
              <w:jc w:val="left"/>
              <w:rPr>
                <w:rFonts w:hint="eastAsia" w:ascii="宋体" w:hAnsi="宋体" w:cs="宋体"/>
                <w:bCs/>
                <w:kern w:val="2"/>
                <w:sz w:val="21"/>
                <w:szCs w:val="21"/>
              </w:rPr>
            </w:pPr>
            <w:r>
              <w:rPr>
                <w:rFonts w:hint="eastAsia" w:ascii="宋体" w:hAnsi="宋体" w:cs="宋体"/>
                <w:bCs/>
                <w:kern w:val="2"/>
                <w:sz w:val="21"/>
                <w:szCs w:val="21"/>
              </w:rPr>
              <w:t>深圳地铁智能招采系统</w:t>
            </w:r>
          </w:p>
          <w:p>
            <w:pPr>
              <w:pStyle w:val="3"/>
              <w:adjustRightInd w:val="0"/>
              <w:snapToGrid w:val="0"/>
              <w:spacing w:line="560" w:lineRule="exact"/>
              <w:ind w:left="0" w:leftChars="0" w:firstLine="0" w:firstLineChars="0"/>
              <w:jc w:val="left"/>
              <w:rPr>
                <w:rFonts w:ascii="宋体" w:hAnsi="宋体"/>
                <w:bCs/>
                <w:color w:val="0C0C0C"/>
                <w:kern w:val="2"/>
                <w:sz w:val="24"/>
                <w:szCs w:val="24"/>
              </w:rPr>
            </w:pPr>
            <w:r>
              <w:rPr>
                <w:rFonts w:hint="eastAsia" w:ascii="宋体" w:hAnsi="宋体" w:cs="宋体"/>
                <w:bCs/>
                <w:kern w:val="2"/>
                <w:sz w:val="21"/>
                <w:szCs w:val="21"/>
              </w:rPr>
              <w:t>https://cg.shenzhenmc.com/szmccg/ananymous/jyzt/zc/gyszc</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70" w:hRule="atLeast"/>
          <w:jc w:val="center"/>
        </w:trPr>
        <w:tc>
          <w:tcPr>
            <w:tcW w:w="752"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spacing w:line="560" w:lineRule="exact"/>
              <w:ind w:left="0" w:leftChars="0" w:firstLine="0" w:firstLineChars="0"/>
              <w:jc w:val="center"/>
              <w:rPr>
                <w:rFonts w:ascii="仿宋_GB2312" w:hAnsi="楷体" w:eastAsia="仿宋_GB2312"/>
                <w:bCs/>
                <w:color w:val="0C0C0C"/>
                <w:kern w:val="2"/>
                <w:sz w:val="21"/>
                <w:szCs w:val="24"/>
              </w:rPr>
            </w:pPr>
            <w:r>
              <w:rPr>
                <w:rFonts w:hint="eastAsia" w:ascii="仿宋_GB2312" w:hAnsi="楷体" w:eastAsia="仿宋_GB2312"/>
                <w:bCs/>
                <w:color w:val="0C0C0C"/>
                <w:kern w:val="2"/>
                <w:sz w:val="21"/>
                <w:szCs w:val="24"/>
              </w:rPr>
              <w:t>3</w:t>
            </w:r>
          </w:p>
        </w:tc>
        <w:tc>
          <w:tcPr>
            <w:tcW w:w="1805"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spacing w:line="560" w:lineRule="exact"/>
              <w:ind w:left="0" w:leftChars="0" w:firstLine="0" w:firstLineChars="0"/>
              <w:jc w:val="center"/>
              <w:rPr>
                <w:rFonts w:ascii="宋体" w:hAnsi="宋体"/>
                <w:bCs/>
                <w:color w:val="0C0C0C"/>
                <w:kern w:val="2"/>
                <w:sz w:val="24"/>
                <w:szCs w:val="24"/>
              </w:rPr>
            </w:pPr>
            <w:r>
              <w:rPr>
                <w:rFonts w:ascii="宋体" w:hAnsi="宋体"/>
                <w:bCs/>
                <w:color w:val="0C0C0C"/>
                <w:kern w:val="2"/>
                <w:sz w:val="24"/>
                <w:szCs w:val="24"/>
              </w:rPr>
              <w:t>开标</w:t>
            </w:r>
          </w:p>
        </w:tc>
        <w:tc>
          <w:tcPr>
            <w:tcW w:w="241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60" w:lineRule="exact"/>
              <w:jc w:val="center"/>
              <w:rPr>
                <w:rFonts w:ascii="宋体" w:hAnsi="宋体"/>
                <w:bCs/>
                <w:color w:val="0C0C0C"/>
                <w:sz w:val="24"/>
                <w:szCs w:val="24"/>
              </w:rPr>
            </w:pPr>
            <w:r>
              <w:rPr>
                <w:rFonts w:hint="eastAsia" w:ascii="宋体" w:hAnsi="宋体"/>
                <w:bCs/>
                <w:color w:val="0C0C0C"/>
                <w:sz w:val="24"/>
                <w:szCs w:val="24"/>
                <w:lang w:val="en-US" w:eastAsia="zh-CN"/>
              </w:rPr>
              <w:t>8</w:t>
            </w:r>
            <w:r>
              <w:rPr>
                <w:rFonts w:hint="eastAsia" w:ascii="宋体" w:hAnsi="宋体"/>
                <w:bCs/>
                <w:color w:val="0C0C0C"/>
                <w:sz w:val="24"/>
                <w:szCs w:val="24"/>
              </w:rPr>
              <w:t>月</w:t>
            </w:r>
            <w:r>
              <w:rPr>
                <w:rFonts w:hint="eastAsia" w:ascii="宋体" w:hAnsi="宋体"/>
                <w:bCs/>
                <w:color w:val="0C0C0C"/>
                <w:sz w:val="24"/>
                <w:szCs w:val="24"/>
                <w:lang w:val="en-US" w:eastAsia="zh-CN"/>
              </w:rPr>
              <w:t>2</w:t>
            </w:r>
            <w:r>
              <w:rPr>
                <w:rFonts w:ascii="宋体" w:hAnsi="宋体"/>
                <w:bCs/>
                <w:color w:val="0C0C0C"/>
                <w:sz w:val="24"/>
                <w:szCs w:val="24"/>
              </w:rPr>
              <w:t>日</w:t>
            </w:r>
          </w:p>
          <w:p>
            <w:pPr>
              <w:adjustRightInd w:val="0"/>
              <w:snapToGrid w:val="0"/>
              <w:spacing w:line="560" w:lineRule="exact"/>
              <w:jc w:val="center"/>
              <w:rPr>
                <w:rFonts w:ascii="宋体" w:hAnsi="宋体"/>
                <w:bCs/>
                <w:color w:val="0C0C0C"/>
                <w:sz w:val="24"/>
                <w:szCs w:val="24"/>
              </w:rPr>
            </w:pPr>
            <w:r>
              <w:rPr>
                <w:rFonts w:hint="eastAsia" w:ascii="宋体" w:hAnsi="宋体"/>
                <w:bCs/>
                <w:color w:val="0C0C0C"/>
                <w:sz w:val="24"/>
                <w:szCs w:val="24"/>
              </w:rPr>
              <w:t>上午10:00</w:t>
            </w:r>
          </w:p>
        </w:tc>
        <w:tc>
          <w:tcPr>
            <w:tcW w:w="4620"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spacing w:line="560" w:lineRule="exact"/>
              <w:ind w:left="143" w:leftChars="68" w:firstLine="33" w:firstLineChars="16"/>
              <w:jc w:val="left"/>
              <w:rPr>
                <w:rFonts w:hint="eastAsia" w:ascii="宋体" w:hAnsi="宋体" w:eastAsia="宋体"/>
                <w:bCs/>
                <w:color w:val="0C0C0C"/>
                <w:kern w:val="2"/>
                <w:sz w:val="24"/>
                <w:szCs w:val="24"/>
                <w:lang w:eastAsia="zh-CN"/>
              </w:rPr>
            </w:pPr>
            <w:r>
              <w:rPr>
                <w:rFonts w:hint="eastAsia" w:ascii="宋体" w:hAnsi="宋体" w:cs="宋体"/>
                <w:bCs/>
                <w:kern w:val="2"/>
                <w:sz w:val="21"/>
                <w:szCs w:val="21"/>
              </w:rPr>
              <w:t>开标地点：地铁大厦</w:t>
            </w:r>
            <w:r>
              <w:rPr>
                <w:rFonts w:hint="eastAsia" w:ascii="宋体" w:hAnsi="宋体" w:cs="宋体"/>
                <w:bCs/>
                <w:kern w:val="2"/>
                <w:sz w:val="21"/>
                <w:szCs w:val="21"/>
                <w:lang w:val="en-US" w:eastAsia="zh-CN"/>
              </w:rPr>
              <w:t>一楼</w:t>
            </w:r>
          </w:p>
        </w:tc>
      </w:tr>
    </w:tbl>
    <w:p>
      <w:pPr>
        <w:pStyle w:val="4"/>
        <w:spacing w:line="560" w:lineRule="exact"/>
        <w:ind w:firstLine="482" w:firstLineChars="200"/>
        <w:rPr>
          <w:rFonts w:hAnsi="宋体"/>
          <w:b/>
          <w:color w:val="0C0C0C"/>
          <w:sz w:val="24"/>
          <w:szCs w:val="24"/>
        </w:rPr>
      </w:pPr>
      <w:r>
        <w:rPr>
          <w:rFonts w:hint="eastAsia" w:hAnsi="宋体"/>
          <w:b/>
          <w:color w:val="0C0C0C"/>
          <w:sz w:val="24"/>
          <w:szCs w:val="24"/>
        </w:rPr>
        <w:t>七、参选</w:t>
      </w:r>
      <w:r>
        <w:rPr>
          <w:rFonts w:hAnsi="宋体"/>
          <w:b/>
          <w:color w:val="0C0C0C"/>
          <w:sz w:val="24"/>
          <w:szCs w:val="24"/>
        </w:rPr>
        <w:t>所需材料：</w:t>
      </w:r>
    </w:p>
    <w:p>
      <w:pPr>
        <w:pStyle w:val="4"/>
        <w:numPr>
          <w:ilvl w:val="0"/>
          <w:numId w:val="2"/>
        </w:numPr>
        <w:spacing w:line="360" w:lineRule="auto"/>
        <w:ind w:left="0" w:firstLine="426"/>
        <w:rPr>
          <w:rFonts w:hAnsi="宋体"/>
          <w:sz w:val="24"/>
          <w:szCs w:val="24"/>
        </w:rPr>
      </w:pPr>
      <w:r>
        <w:rPr>
          <w:rFonts w:hint="eastAsia" w:hAnsi="宋体"/>
          <w:sz w:val="24"/>
          <w:szCs w:val="24"/>
        </w:rPr>
        <w:t>根据比选</w:t>
      </w:r>
      <w:r>
        <w:rPr>
          <w:rFonts w:hAnsi="宋体"/>
          <w:sz w:val="24"/>
          <w:szCs w:val="24"/>
        </w:rPr>
        <w:t>文件编制的参选文件</w:t>
      </w:r>
      <w:r>
        <w:rPr>
          <w:rFonts w:hint="eastAsia" w:hAnsi="宋体"/>
          <w:sz w:val="24"/>
          <w:szCs w:val="24"/>
        </w:rPr>
        <w:t>；；</w:t>
      </w:r>
    </w:p>
    <w:p>
      <w:pPr>
        <w:pStyle w:val="4"/>
        <w:numPr>
          <w:ilvl w:val="0"/>
          <w:numId w:val="2"/>
        </w:numPr>
        <w:spacing w:line="360" w:lineRule="auto"/>
        <w:ind w:left="0" w:firstLine="426"/>
        <w:rPr>
          <w:rFonts w:hAnsi="宋体"/>
          <w:sz w:val="24"/>
          <w:szCs w:val="24"/>
        </w:rPr>
      </w:pPr>
      <w:r>
        <w:rPr>
          <w:rFonts w:hint="eastAsia" w:hAnsi="宋体"/>
          <w:sz w:val="24"/>
          <w:szCs w:val="24"/>
        </w:rPr>
        <w:t>如递交参选</w:t>
      </w:r>
      <w:r>
        <w:rPr>
          <w:rFonts w:hAnsi="宋体"/>
          <w:sz w:val="24"/>
          <w:szCs w:val="24"/>
        </w:rPr>
        <w:t>文件的参选人</w:t>
      </w:r>
      <w:r>
        <w:rPr>
          <w:rFonts w:hint="eastAsia" w:hAnsi="宋体"/>
          <w:sz w:val="24"/>
          <w:szCs w:val="24"/>
        </w:rPr>
        <w:t>为参选单位的法定代表人，须携带法定代表人证明书及本人身份证原件和复印件；如递交</w:t>
      </w:r>
      <w:r>
        <w:rPr>
          <w:rFonts w:hAnsi="宋体"/>
          <w:sz w:val="24"/>
          <w:szCs w:val="24"/>
        </w:rPr>
        <w:t>参选文件的参选</w:t>
      </w:r>
      <w:r>
        <w:rPr>
          <w:rFonts w:hint="eastAsia" w:hAnsi="宋体"/>
          <w:sz w:val="24"/>
          <w:szCs w:val="24"/>
        </w:rPr>
        <w:t>人不是法定代表人，除携带本人身份证复印件外，还需携带法定代表人证明书和法定代表人身份证复印件及授权</w:t>
      </w:r>
      <w:r>
        <w:rPr>
          <w:rFonts w:hAnsi="宋体"/>
          <w:sz w:val="24"/>
          <w:szCs w:val="24"/>
        </w:rPr>
        <w:t>委托书</w:t>
      </w:r>
      <w:r>
        <w:rPr>
          <w:rFonts w:hint="eastAsia" w:hAnsi="宋体"/>
          <w:sz w:val="24"/>
          <w:szCs w:val="24"/>
        </w:rPr>
        <w:t>。</w:t>
      </w:r>
    </w:p>
    <w:p>
      <w:pPr>
        <w:pStyle w:val="4"/>
        <w:spacing w:line="560" w:lineRule="exact"/>
        <w:ind w:firstLine="482" w:firstLineChars="200"/>
        <w:rPr>
          <w:rFonts w:hAnsi="宋体"/>
          <w:b/>
          <w:color w:val="0C0C0C"/>
          <w:sz w:val="24"/>
          <w:szCs w:val="24"/>
        </w:rPr>
      </w:pPr>
      <w:r>
        <w:rPr>
          <w:rFonts w:hint="eastAsia" w:hAnsi="宋体"/>
          <w:b/>
          <w:color w:val="0C0C0C"/>
          <w:sz w:val="24"/>
          <w:szCs w:val="24"/>
        </w:rPr>
        <w:t>八</w:t>
      </w:r>
      <w:r>
        <w:rPr>
          <w:rFonts w:hAnsi="宋体"/>
          <w:b/>
          <w:color w:val="0C0C0C"/>
          <w:sz w:val="24"/>
          <w:szCs w:val="24"/>
        </w:rPr>
        <w:t>、</w:t>
      </w:r>
      <w:r>
        <w:rPr>
          <w:rFonts w:hint="eastAsia" w:hAnsi="宋体"/>
          <w:b/>
          <w:color w:val="0C0C0C"/>
          <w:sz w:val="24"/>
          <w:szCs w:val="24"/>
        </w:rPr>
        <w:t>参选联系人</w:t>
      </w:r>
    </w:p>
    <w:p>
      <w:pPr>
        <w:pStyle w:val="4"/>
        <w:spacing w:line="560" w:lineRule="exact"/>
        <w:ind w:firstLine="480" w:firstLineChars="200"/>
        <w:rPr>
          <w:rFonts w:hAnsi="宋体"/>
          <w:color w:val="0C0C0C"/>
          <w:sz w:val="24"/>
          <w:szCs w:val="24"/>
        </w:rPr>
      </w:pPr>
      <w:r>
        <w:rPr>
          <w:rFonts w:hint="eastAsia" w:hAnsi="宋体"/>
          <w:color w:val="0C0C0C"/>
          <w:sz w:val="24"/>
          <w:szCs w:val="24"/>
        </w:rPr>
        <w:t>联系人：</w:t>
      </w:r>
      <w:r>
        <w:rPr>
          <w:rFonts w:hint="eastAsia" w:hAnsi="宋体"/>
          <w:color w:val="0C0C0C"/>
          <w:sz w:val="24"/>
        </w:rPr>
        <w:t>姜女士</w:t>
      </w:r>
    </w:p>
    <w:p>
      <w:pPr>
        <w:pStyle w:val="4"/>
        <w:spacing w:line="560" w:lineRule="exact"/>
        <w:ind w:firstLine="480" w:firstLineChars="200"/>
        <w:rPr>
          <w:rFonts w:hAnsi="宋体"/>
          <w:color w:val="0C0C0C"/>
          <w:sz w:val="24"/>
          <w:szCs w:val="24"/>
        </w:rPr>
      </w:pPr>
      <w:r>
        <w:rPr>
          <w:rFonts w:hint="eastAsia" w:hAnsi="宋体"/>
          <w:color w:val="0C0C0C"/>
          <w:sz w:val="24"/>
          <w:szCs w:val="24"/>
        </w:rPr>
        <w:t>联系电话：</w:t>
      </w:r>
      <w:r>
        <w:rPr>
          <w:rFonts w:hint="eastAsia" w:ascii="Times New Roman" w:hAnsi="Times New Roman"/>
          <w:color w:val="000000"/>
          <w:sz w:val="24"/>
          <w:szCs w:val="24"/>
        </w:rPr>
        <w:t>0755-89986454</w:t>
      </w:r>
      <w:r>
        <w:rPr>
          <w:rFonts w:ascii="Times New Roman" w:hAnsi="Times New Roman"/>
          <w:color w:val="000000"/>
          <w:sz w:val="24"/>
          <w:szCs w:val="24"/>
        </w:rPr>
        <w:t xml:space="preserve"> </w:t>
      </w:r>
    </w:p>
    <w:p>
      <w:pPr>
        <w:pStyle w:val="4"/>
        <w:spacing w:line="560" w:lineRule="exact"/>
        <w:ind w:firstLine="480" w:firstLineChars="200"/>
        <w:jc w:val="right"/>
        <w:rPr>
          <w:rFonts w:hAnsi="宋体"/>
          <w:color w:val="0C0C0C"/>
          <w:sz w:val="24"/>
          <w:szCs w:val="24"/>
        </w:rPr>
      </w:pPr>
    </w:p>
    <w:p>
      <w:pPr>
        <w:pStyle w:val="4"/>
        <w:spacing w:line="560" w:lineRule="exact"/>
        <w:ind w:firstLine="480" w:firstLineChars="200"/>
        <w:jc w:val="right"/>
        <w:rPr>
          <w:rFonts w:hAnsi="宋体"/>
          <w:color w:val="0C0C0C"/>
          <w:sz w:val="24"/>
          <w:szCs w:val="24"/>
        </w:rPr>
      </w:pPr>
      <w:r>
        <w:rPr>
          <w:rFonts w:hint="eastAsia" w:hAnsi="宋体"/>
          <w:color w:val="0C0C0C"/>
          <w:sz w:val="24"/>
          <w:szCs w:val="24"/>
        </w:rPr>
        <w:t>深圳市地铁置业集团有限公司</w:t>
      </w:r>
    </w:p>
    <w:p>
      <w:pPr>
        <w:pStyle w:val="4"/>
        <w:spacing w:line="560" w:lineRule="exact"/>
        <w:ind w:firstLine="480" w:firstLineChars="200"/>
        <w:jc w:val="right"/>
        <w:rPr>
          <w:rFonts w:hint="eastAsia" w:hAnsi="宋体" w:cs="宋体"/>
          <w:color w:val="0C0C0C"/>
          <w:sz w:val="24"/>
          <w:szCs w:val="24"/>
        </w:rPr>
      </w:pPr>
      <w:r>
        <w:rPr>
          <w:rFonts w:hint="eastAsia" w:hAnsi="宋体" w:cs="宋体"/>
          <w:color w:val="0C0C0C"/>
          <w:sz w:val="24"/>
          <w:szCs w:val="24"/>
        </w:rPr>
        <w:t>          </w:t>
      </w:r>
      <w:r>
        <w:rPr>
          <w:rFonts w:hAnsi="宋体" w:cs="宋体"/>
          <w:color w:val="0C0C0C"/>
          <w:sz w:val="24"/>
          <w:szCs w:val="24"/>
        </w:rPr>
        <w:t>202</w:t>
      </w:r>
      <w:r>
        <w:rPr>
          <w:rFonts w:hint="eastAsia" w:hAnsi="宋体" w:cs="宋体"/>
          <w:color w:val="0C0C0C"/>
          <w:sz w:val="24"/>
          <w:szCs w:val="24"/>
        </w:rPr>
        <w:t>1</w:t>
      </w:r>
      <w:r>
        <w:rPr>
          <w:rFonts w:hAnsi="宋体"/>
          <w:color w:val="0C0C0C"/>
          <w:sz w:val="24"/>
        </w:rPr>
        <w:t>年</w:t>
      </w:r>
      <w:r>
        <w:rPr>
          <w:rFonts w:hint="eastAsia" w:hAnsi="宋体"/>
          <w:color w:val="0C0C0C"/>
          <w:sz w:val="24"/>
        </w:rPr>
        <w:t>7月</w:t>
      </w:r>
      <w:r>
        <w:rPr>
          <w:rFonts w:hint="eastAsia" w:hAnsi="宋体"/>
          <w:color w:val="0C0C0C"/>
          <w:sz w:val="24"/>
          <w:lang w:val="en-US" w:eastAsia="zh-CN"/>
        </w:rPr>
        <w:t>21</w:t>
      </w:r>
      <w:bookmarkStart w:id="4" w:name="_GoBack"/>
      <w:bookmarkEnd w:id="4"/>
      <w:r>
        <w:rPr>
          <w:rFonts w:hint="eastAsia" w:hAnsi="宋体"/>
          <w:color w:val="0C0C0C"/>
          <w:sz w:val="24"/>
        </w:rPr>
        <w:t>日</w:t>
      </w:r>
      <w:r>
        <w:rPr>
          <w:rFonts w:hint="eastAsia" w:hAnsi="宋体" w:cs="宋体"/>
          <w:color w:val="0C0C0C"/>
          <w:sz w:val="24"/>
          <w:szCs w:val="24"/>
        </w:rPr>
        <w:t>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DC2056"/>
    <w:multiLevelType w:val="multilevel"/>
    <w:tmpl w:val="60DC2056"/>
    <w:lvl w:ilvl="0" w:tentative="0">
      <w:start w:val="1"/>
      <w:numFmt w:val="chineseCountingThousand"/>
      <w:lvlText w:val="（%1）"/>
      <w:lvlJc w:val="left"/>
      <w:pPr>
        <w:ind w:left="1266" w:hanging="420"/>
      </w:pPr>
      <w:rPr>
        <w:rFonts w:hint="eastAsia"/>
      </w:rPr>
    </w:lvl>
    <w:lvl w:ilvl="1" w:tentative="0">
      <w:start w:val="1"/>
      <w:numFmt w:val="lowerLetter"/>
      <w:lvlText w:val="%2)"/>
      <w:lvlJc w:val="left"/>
      <w:pPr>
        <w:ind w:left="1686" w:hanging="420"/>
      </w:pPr>
    </w:lvl>
    <w:lvl w:ilvl="2" w:tentative="0">
      <w:start w:val="1"/>
      <w:numFmt w:val="lowerRoman"/>
      <w:lvlText w:val="%3."/>
      <w:lvlJc w:val="right"/>
      <w:pPr>
        <w:ind w:left="2106" w:hanging="420"/>
      </w:pPr>
    </w:lvl>
    <w:lvl w:ilvl="3" w:tentative="0">
      <w:start w:val="1"/>
      <w:numFmt w:val="decimal"/>
      <w:lvlText w:val="%4."/>
      <w:lvlJc w:val="left"/>
      <w:pPr>
        <w:ind w:left="2526" w:hanging="420"/>
      </w:pPr>
    </w:lvl>
    <w:lvl w:ilvl="4" w:tentative="0">
      <w:start w:val="1"/>
      <w:numFmt w:val="lowerLetter"/>
      <w:lvlText w:val="%5)"/>
      <w:lvlJc w:val="left"/>
      <w:pPr>
        <w:ind w:left="2946" w:hanging="420"/>
      </w:pPr>
    </w:lvl>
    <w:lvl w:ilvl="5" w:tentative="0">
      <w:start w:val="1"/>
      <w:numFmt w:val="lowerRoman"/>
      <w:lvlText w:val="%6."/>
      <w:lvlJc w:val="right"/>
      <w:pPr>
        <w:ind w:left="3366" w:hanging="420"/>
      </w:pPr>
    </w:lvl>
    <w:lvl w:ilvl="6" w:tentative="0">
      <w:start w:val="1"/>
      <w:numFmt w:val="decimal"/>
      <w:lvlText w:val="%7."/>
      <w:lvlJc w:val="left"/>
      <w:pPr>
        <w:ind w:left="3786" w:hanging="420"/>
      </w:pPr>
    </w:lvl>
    <w:lvl w:ilvl="7" w:tentative="0">
      <w:start w:val="1"/>
      <w:numFmt w:val="lowerLetter"/>
      <w:lvlText w:val="%8)"/>
      <w:lvlJc w:val="left"/>
      <w:pPr>
        <w:ind w:left="4206" w:hanging="420"/>
      </w:pPr>
    </w:lvl>
    <w:lvl w:ilvl="8" w:tentative="0">
      <w:start w:val="1"/>
      <w:numFmt w:val="lowerRoman"/>
      <w:lvlText w:val="%9."/>
      <w:lvlJc w:val="right"/>
      <w:pPr>
        <w:ind w:left="4626" w:hanging="420"/>
      </w:pPr>
    </w:lvl>
  </w:abstractNum>
  <w:abstractNum w:abstractNumId="1">
    <w:nsid w:val="7BB08C62"/>
    <w:multiLevelType w:val="singleLevel"/>
    <w:tmpl w:val="7BB08C62"/>
    <w:lvl w:ilvl="0" w:tentative="0">
      <w:start w:val="5"/>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C204EF"/>
    <w:rsid w:val="14C34F24"/>
    <w:rsid w:val="562809A8"/>
    <w:rsid w:val="61660DC2"/>
    <w:rsid w:val="76647D58"/>
    <w:rsid w:val="7EC204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3"/>
    <w:basedOn w:val="1"/>
    <w:next w:val="1"/>
    <w:qFormat/>
    <w:uiPriority w:val="0"/>
    <w:pPr>
      <w:keepNext/>
      <w:keepLines/>
      <w:tabs>
        <w:tab w:val="left" w:pos="1260"/>
      </w:tabs>
      <w:adjustRightInd w:val="0"/>
      <w:spacing w:before="260" w:after="260" w:line="416" w:lineRule="atLeast"/>
      <w:ind w:left="1260" w:hanging="420"/>
      <w:textAlignment w:val="baseline"/>
      <w:outlineLvl w:val="2"/>
    </w:pPr>
    <w:rPr>
      <w:b/>
      <w:kern w:val="0"/>
      <w:sz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Indent"/>
    <w:basedOn w:val="1"/>
    <w:qFormat/>
    <w:uiPriority w:val="0"/>
    <w:pPr>
      <w:spacing w:line="360" w:lineRule="auto"/>
      <w:ind w:left="540" w:leftChars="257" w:firstLine="360" w:firstLineChars="150"/>
    </w:pPr>
    <w:rPr>
      <w:kern w:val="0"/>
      <w:sz w:val="20"/>
    </w:rPr>
  </w:style>
  <w:style w:type="paragraph" w:styleId="4">
    <w:name w:val="Plain Text"/>
    <w:basedOn w:val="1"/>
    <w:qFormat/>
    <w:uiPriority w:val="0"/>
    <w:pPr>
      <w:adjustRightInd w:val="0"/>
      <w:spacing w:line="312" w:lineRule="atLeast"/>
      <w:textAlignment w:val="baseline"/>
    </w:pPr>
    <w:rPr>
      <w:rFonts w:ascii="宋体" w:hAnsi="Courier New"/>
      <w:kern w:val="0"/>
      <w:sz w:val="20"/>
    </w:rPr>
  </w:style>
  <w:style w:type="paragraph" w:styleId="5">
    <w:name w:val="footer"/>
    <w:basedOn w:val="1"/>
    <w:qFormat/>
    <w:uiPriority w:val="0"/>
    <w:pPr>
      <w:tabs>
        <w:tab w:val="center" w:pos="4153"/>
        <w:tab w:val="right" w:pos="8306"/>
      </w:tabs>
      <w:adjustRightInd w:val="0"/>
      <w:spacing w:line="240" w:lineRule="atLeast"/>
      <w:jc w:val="left"/>
      <w:textAlignment w:val="baseline"/>
    </w:pPr>
    <w:rPr>
      <w:kern w:val="0"/>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2021-07-16T00:11:00Z</dcterms:created>
  <dc:creator>姜淼</dc:creator>
  <cp:lastModifiedBy>NTKO</cp:lastModifiedBy>
  <dcterms:modified xsi:type="dcterms:W3CDTF">2021-07-20T08:49:17Z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