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Ansi="宋体"/>
          <w:sz w:val="24"/>
          <w:szCs w:val="24"/>
        </w:rPr>
      </w:pPr>
      <w:bookmarkStart w:id="0" w:name="_Toc434234570"/>
      <w:bookmarkStart w:id="1" w:name="_Toc57731944"/>
      <w:r>
        <w:rPr>
          <w:rFonts w:hint="eastAsia" w:ascii="宋体" w:hAnsi="宋体" w:eastAsia="宋体"/>
          <w:b/>
        </w:rPr>
        <w:t>比选公告</w:t>
      </w:r>
      <w:bookmarkEnd w:id="0"/>
      <w:bookmarkEnd w:id="1"/>
    </w:p>
    <w:p>
      <w:pPr>
        <w:pStyle w:val="5"/>
        <w:spacing w:line="360" w:lineRule="auto"/>
        <w:ind w:firstLine="480" w:firstLineChars="200"/>
        <w:jc w:val="left"/>
        <w:rPr>
          <w:rFonts w:hAnsi="宋体"/>
          <w:sz w:val="24"/>
          <w:szCs w:val="24"/>
        </w:rPr>
      </w:pPr>
      <w:r>
        <w:rPr>
          <w:rFonts w:hint="eastAsia" w:hAnsi="宋体"/>
          <w:sz w:val="24"/>
          <w:szCs w:val="24"/>
        </w:rPr>
        <w:t>深圳市地铁集团有限公司拟对</w:t>
      </w:r>
      <w:r>
        <w:rPr>
          <w:rFonts w:hint="eastAsia" w:hAnsi="宋体"/>
          <w:b/>
          <w:sz w:val="24"/>
          <w:szCs w:val="24"/>
          <w:u w:val="single"/>
        </w:rPr>
        <w:t>前海时代项目4号地块商业策划及设计优化咨询服务</w:t>
      </w:r>
      <w:r>
        <w:rPr>
          <w:rFonts w:hint="eastAsia" w:hAnsi="宋体"/>
          <w:b/>
          <w:sz w:val="24"/>
          <w:szCs w:val="24"/>
        </w:rPr>
        <w:t>（以下</w:t>
      </w:r>
      <w:r>
        <w:rPr>
          <w:rFonts w:hAnsi="宋体"/>
          <w:b/>
          <w:sz w:val="24"/>
          <w:szCs w:val="24"/>
        </w:rPr>
        <w:t>简称“本项目”）</w:t>
      </w:r>
      <w:r>
        <w:rPr>
          <w:rFonts w:hint="eastAsia" w:hAnsi="宋体"/>
          <w:sz w:val="24"/>
          <w:szCs w:val="24"/>
        </w:rPr>
        <w:t>进行公开比选，欢迎符合本比选公告公布资质要求的公司参加比选。</w:t>
      </w:r>
    </w:p>
    <w:p>
      <w:pPr>
        <w:tabs>
          <w:tab w:val="left" w:pos="1260"/>
        </w:tabs>
        <w:spacing w:before="260" w:after="260" w:line="360" w:lineRule="auto"/>
        <w:ind w:firstLine="200"/>
        <w:outlineLvl w:val="2"/>
        <w:rPr>
          <w:rFonts w:ascii="宋体" w:hAnsi="宋体"/>
          <w:b/>
          <w:sz w:val="24"/>
          <w:szCs w:val="24"/>
        </w:rPr>
      </w:pPr>
      <w:bookmarkStart w:id="2" w:name="_Toc57731945"/>
      <w:r>
        <w:rPr>
          <w:rFonts w:hint="eastAsia" w:ascii="宋体" w:hAnsi="宋体"/>
          <w:b/>
          <w:sz w:val="24"/>
          <w:szCs w:val="24"/>
        </w:rPr>
        <w:t>一、项目名称</w:t>
      </w:r>
      <w:bookmarkEnd w:id="2"/>
    </w:p>
    <w:p>
      <w:pPr>
        <w:spacing w:line="360" w:lineRule="auto"/>
        <w:ind w:firstLine="200"/>
        <w:rPr>
          <w:rFonts w:ascii="宋体" w:hAnsi="宋体"/>
          <w:sz w:val="24"/>
          <w:szCs w:val="24"/>
        </w:rPr>
      </w:pPr>
      <w:r>
        <w:rPr>
          <w:rFonts w:hint="eastAsia" w:hAnsi="宋体"/>
          <w:sz w:val="24"/>
          <w:szCs w:val="24"/>
        </w:rPr>
        <w:t>前海时代项目4号地块商业策划及设计优化咨询</w:t>
      </w:r>
      <w:r>
        <w:rPr>
          <w:rFonts w:hint="eastAsia" w:ascii="宋体" w:hAnsi="宋体"/>
          <w:sz w:val="24"/>
          <w:szCs w:val="24"/>
        </w:rPr>
        <w:t>服务</w:t>
      </w:r>
    </w:p>
    <w:p>
      <w:pPr>
        <w:tabs>
          <w:tab w:val="left" w:pos="1260"/>
        </w:tabs>
        <w:spacing w:before="260" w:after="260" w:line="360" w:lineRule="auto"/>
        <w:ind w:firstLine="200"/>
        <w:outlineLvl w:val="2"/>
        <w:rPr>
          <w:rFonts w:ascii="宋体" w:hAnsi="宋体"/>
          <w:b/>
          <w:sz w:val="24"/>
          <w:szCs w:val="24"/>
        </w:rPr>
      </w:pPr>
      <w:bookmarkStart w:id="3" w:name="_Toc57731946"/>
      <w:r>
        <w:rPr>
          <w:rFonts w:hint="eastAsia" w:ascii="宋体" w:hAnsi="宋体"/>
          <w:b/>
          <w:sz w:val="24"/>
          <w:szCs w:val="24"/>
        </w:rPr>
        <w:t>二、比选内容</w:t>
      </w:r>
      <w:bookmarkEnd w:id="3"/>
    </w:p>
    <w:p>
      <w:pPr>
        <w:spacing w:line="360" w:lineRule="auto"/>
        <w:ind w:firstLine="200"/>
        <w:rPr>
          <w:rFonts w:ascii="宋体" w:hAnsi="宋体"/>
          <w:sz w:val="24"/>
          <w:szCs w:val="24"/>
        </w:rPr>
      </w:pPr>
      <w:r>
        <w:rPr>
          <w:rFonts w:ascii="宋体" w:hAnsi="宋体"/>
          <w:sz w:val="24"/>
          <w:szCs w:val="24"/>
        </w:rPr>
        <w:t>对</w:t>
      </w:r>
      <w:r>
        <w:rPr>
          <w:rFonts w:hint="eastAsia" w:ascii="宋体" w:hAnsi="宋体"/>
          <w:sz w:val="24"/>
          <w:szCs w:val="24"/>
        </w:rPr>
        <w:t>前海时代项目4号地块约3.8万㎡商业，提供商业策划及设计优化咨询服务。具体内容包括但不限于：</w:t>
      </w:r>
    </w:p>
    <w:p>
      <w:pPr>
        <w:spacing w:line="360" w:lineRule="auto"/>
        <w:ind w:firstLine="200"/>
        <w:rPr>
          <w:rFonts w:ascii="宋体" w:hAnsi="宋体"/>
          <w:sz w:val="24"/>
          <w:szCs w:val="24"/>
        </w:rPr>
      </w:pPr>
      <w:r>
        <w:rPr>
          <w:rFonts w:hint="eastAsia" w:ascii="宋体" w:hAnsi="宋体"/>
          <w:sz w:val="24"/>
          <w:szCs w:val="24"/>
        </w:rPr>
        <w:t>提供《项目商业策划定位报告及设计方案建议》</w:t>
      </w:r>
    </w:p>
    <w:p>
      <w:pPr>
        <w:numPr>
          <w:ilvl w:val="0"/>
          <w:numId w:val="1"/>
        </w:numPr>
        <w:ind w:firstLine="178"/>
        <w:rPr>
          <w:rFonts w:ascii="仿宋_GB2312" w:hAnsi="宋体" w:eastAsia="仿宋_GB2312"/>
          <w:color w:val="0D0D0D"/>
          <w:sz w:val="28"/>
          <w:szCs w:val="28"/>
        </w:rPr>
      </w:pPr>
      <w:r>
        <w:rPr>
          <w:rFonts w:hint="eastAsia" w:ascii="仿宋_GB2312" w:hAnsi="宋体" w:eastAsia="仿宋_GB2312"/>
          <w:sz w:val="28"/>
          <w:szCs w:val="28"/>
        </w:rPr>
        <w:t>商业策划</w:t>
      </w:r>
    </w:p>
    <w:tbl>
      <w:tblPr>
        <w:tblStyle w:val="7"/>
        <w:tblW w:w="86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00"/>
        <w:gridCol w:w="67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629" w:type="dxa"/>
            <w:gridSpan w:val="2"/>
            <w:vAlign w:val="center"/>
          </w:tcPr>
          <w:p>
            <w:pPr>
              <w:ind w:firstLine="442"/>
              <w:jc w:val="center"/>
              <w:rPr>
                <w:rFonts w:ascii="仿宋" w:hAnsi="仿宋" w:eastAsia="仿宋" w:cs="宋体"/>
                <w:sz w:val="24"/>
                <w:szCs w:val="24"/>
              </w:rPr>
            </w:pPr>
            <w:r>
              <w:rPr>
                <w:rFonts w:hint="eastAsia" w:ascii="仿宋" w:hAnsi="仿宋" w:eastAsia="仿宋" w:cs="宋体"/>
                <w:sz w:val="24"/>
                <w:szCs w:val="24"/>
              </w:rPr>
              <w:t>项目发展背景研究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restart"/>
            <w:vAlign w:val="center"/>
          </w:tcPr>
          <w:p>
            <w:pPr>
              <w:rPr>
                <w:rFonts w:ascii="仿宋" w:hAnsi="仿宋" w:eastAsia="仿宋" w:cs="宋体"/>
                <w:sz w:val="24"/>
                <w:szCs w:val="24"/>
              </w:rPr>
            </w:pPr>
            <w:r>
              <w:rPr>
                <w:rFonts w:hint="eastAsia" w:ascii="仿宋" w:hAnsi="仿宋" w:eastAsia="仿宋" w:cs="宋体"/>
                <w:sz w:val="24"/>
                <w:szCs w:val="24"/>
              </w:rPr>
              <w:t>宏观市场环境</w:t>
            </w:r>
          </w:p>
          <w:p>
            <w:pPr>
              <w:ind w:firstLine="200"/>
              <w:rPr>
                <w:rFonts w:ascii="仿宋" w:hAnsi="仿宋" w:eastAsia="仿宋" w:cs="宋体"/>
                <w:sz w:val="24"/>
                <w:szCs w:val="24"/>
              </w:rPr>
            </w:pPr>
            <w:r>
              <w:rPr>
                <w:rFonts w:hint="eastAsia" w:ascii="仿宋" w:hAnsi="仿宋" w:eastAsia="仿宋" w:cs="宋体"/>
                <w:sz w:val="24"/>
                <w:szCs w:val="24"/>
              </w:rPr>
              <w:t>分析</w:t>
            </w: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政策规划方向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经济环境概况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发展潜力等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629" w:type="dxa"/>
            <w:gridSpan w:val="2"/>
            <w:vAlign w:val="center"/>
          </w:tcPr>
          <w:p>
            <w:pPr>
              <w:ind w:firstLine="442"/>
              <w:jc w:val="center"/>
              <w:rPr>
                <w:rFonts w:ascii="仿宋" w:hAnsi="仿宋" w:eastAsia="仿宋" w:cs="宋体"/>
                <w:sz w:val="24"/>
                <w:szCs w:val="24"/>
              </w:rPr>
            </w:pPr>
            <w:r>
              <w:rPr>
                <w:rFonts w:hint="eastAsia" w:ascii="仿宋" w:hAnsi="仿宋" w:eastAsia="仿宋" w:cs="宋体"/>
                <w:sz w:val="24"/>
                <w:szCs w:val="24"/>
              </w:rPr>
              <w:t>项目本体及市场竞争分析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restart"/>
            <w:vAlign w:val="center"/>
          </w:tcPr>
          <w:p>
            <w:pPr>
              <w:jc w:val="center"/>
              <w:rPr>
                <w:rFonts w:ascii="仿宋" w:hAnsi="仿宋" w:eastAsia="仿宋" w:cs="宋体"/>
                <w:sz w:val="24"/>
                <w:szCs w:val="24"/>
              </w:rPr>
            </w:pPr>
            <w:r>
              <w:rPr>
                <w:rFonts w:hint="eastAsia" w:ascii="仿宋" w:hAnsi="仿宋" w:eastAsia="仿宋" w:cs="宋体"/>
                <w:sz w:val="24"/>
                <w:szCs w:val="24"/>
              </w:rPr>
              <w:t>项目本体分析</w:t>
            </w: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项目本体解析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限制条件分析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周边环境分析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存在问题梳理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restart"/>
            <w:vAlign w:val="center"/>
          </w:tcPr>
          <w:p>
            <w:pPr>
              <w:jc w:val="center"/>
              <w:rPr>
                <w:rFonts w:ascii="仿宋" w:hAnsi="仿宋" w:eastAsia="仿宋" w:cs="宋体"/>
                <w:sz w:val="24"/>
                <w:szCs w:val="24"/>
              </w:rPr>
            </w:pPr>
            <w:r>
              <w:rPr>
                <w:rFonts w:hint="eastAsia" w:ascii="仿宋" w:hAnsi="仿宋" w:eastAsia="仿宋" w:cs="宋体"/>
                <w:sz w:val="24"/>
                <w:szCs w:val="24"/>
              </w:rPr>
              <w:t>区域市场竞争</w:t>
            </w:r>
          </w:p>
          <w:p>
            <w:pPr>
              <w:ind w:firstLine="200"/>
              <w:rPr>
                <w:rFonts w:ascii="仿宋" w:hAnsi="仿宋" w:eastAsia="仿宋" w:cs="宋体"/>
                <w:sz w:val="24"/>
                <w:szCs w:val="24"/>
              </w:rPr>
            </w:pPr>
            <w:r>
              <w:rPr>
                <w:rFonts w:hint="eastAsia" w:ascii="仿宋" w:hAnsi="仿宋" w:eastAsia="仿宋" w:cs="宋体"/>
                <w:sz w:val="24"/>
                <w:szCs w:val="24"/>
              </w:rPr>
              <w:t>分析</w:t>
            </w: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区域分布及市场供求特征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功能业态特征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经营情况分析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客户分析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市场竞争小结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restart"/>
            <w:vAlign w:val="center"/>
          </w:tcPr>
          <w:p>
            <w:pPr>
              <w:jc w:val="center"/>
              <w:rPr>
                <w:rFonts w:ascii="仿宋" w:hAnsi="仿宋" w:eastAsia="仿宋" w:cs="宋体"/>
                <w:sz w:val="24"/>
                <w:szCs w:val="24"/>
              </w:rPr>
            </w:pPr>
            <w:r>
              <w:rPr>
                <w:rFonts w:hint="eastAsia" w:ascii="仿宋" w:hAnsi="仿宋" w:eastAsia="仿宋" w:cs="宋体"/>
                <w:sz w:val="24"/>
                <w:szCs w:val="24"/>
              </w:rPr>
              <w:t>重点竞品项目</w:t>
            </w:r>
          </w:p>
          <w:p>
            <w:pPr>
              <w:ind w:firstLine="200"/>
              <w:rPr>
                <w:rFonts w:ascii="仿宋" w:hAnsi="仿宋" w:eastAsia="仿宋" w:cs="宋体"/>
                <w:sz w:val="24"/>
                <w:szCs w:val="24"/>
              </w:rPr>
            </w:pPr>
            <w:r>
              <w:rPr>
                <w:rFonts w:hint="eastAsia" w:ascii="仿宋" w:hAnsi="仿宋" w:eastAsia="仿宋" w:cs="宋体"/>
                <w:sz w:val="24"/>
                <w:szCs w:val="24"/>
              </w:rPr>
              <w:t>分析</w:t>
            </w: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项目基本情况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定位与业态规划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建筑设计及产品特征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目标客户分析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招商运营模式分析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核心竞争力梳理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629" w:type="dxa"/>
            <w:gridSpan w:val="2"/>
            <w:vAlign w:val="center"/>
          </w:tcPr>
          <w:p>
            <w:pPr>
              <w:ind w:firstLine="442"/>
              <w:jc w:val="center"/>
              <w:rPr>
                <w:rFonts w:ascii="仿宋" w:hAnsi="仿宋" w:eastAsia="仿宋" w:cs="宋体"/>
                <w:sz w:val="24"/>
                <w:szCs w:val="24"/>
              </w:rPr>
            </w:pPr>
            <w:r>
              <w:rPr>
                <w:rFonts w:hint="eastAsia" w:ascii="仿宋" w:hAnsi="仿宋" w:eastAsia="仿宋" w:cs="宋体"/>
                <w:sz w:val="24"/>
                <w:szCs w:val="24"/>
              </w:rPr>
              <w:t>项目整体定位及发展建议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restart"/>
            <w:vAlign w:val="center"/>
          </w:tcPr>
          <w:p>
            <w:pPr>
              <w:rPr>
                <w:rFonts w:ascii="仿宋" w:hAnsi="仿宋" w:eastAsia="仿宋" w:cs="宋体"/>
                <w:sz w:val="24"/>
                <w:szCs w:val="24"/>
              </w:rPr>
            </w:pPr>
            <w:r>
              <w:rPr>
                <w:rFonts w:hint="eastAsia" w:ascii="仿宋" w:hAnsi="仿宋" w:eastAsia="仿宋" w:cs="宋体"/>
                <w:sz w:val="24"/>
                <w:szCs w:val="24"/>
              </w:rPr>
              <w:t>项目整体定位</w:t>
            </w: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SWOT分析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00" w:type="dxa"/>
            <w:vMerge w:val="continue"/>
            <w:vAlign w:val="center"/>
          </w:tcP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物业发展定位</w:t>
            </w:r>
          </w:p>
          <w:p>
            <w:pPr>
              <w:ind w:firstLine="440"/>
              <w:jc w:val="center"/>
              <w:rPr>
                <w:rFonts w:ascii="仿宋" w:hAnsi="仿宋" w:eastAsia="仿宋" w:cs="宋体"/>
                <w:sz w:val="24"/>
                <w:szCs w:val="24"/>
              </w:rPr>
            </w:pPr>
            <w:r>
              <w:rPr>
                <w:rFonts w:hint="eastAsia" w:ascii="仿宋" w:hAnsi="仿宋" w:eastAsia="仿宋" w:cs="宋体"/>
                <w:sz w:val="24"/>
                <w:szCs w:val="24"/>
              </w:rPr>
              <w:t>（包括功能及业态、客户、档次、产品、经营主题、品牌定位等）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1900" w:type="dxa"/>
            <w:vAlign w:val="center"/>
          </w:tcPr>
          <w:p>
            <w:pPr>
              <w:rPr>
                <w:rFonts w:ascii="仿宋" w:hAnsi="仿宋" w:eastAsia="仿宋" w:cs="宋体"/>
                <w:sz w:val="24"/>
                <w:szCs w:val="24"/>
              </w:rPr>
            </w:pPr>
            <w:r>
              <w:rPr>
                <w:rFonts w:hint="eastAsia" w:ascii="仿宋" w:hAnsi="仿宋" w:eastAsia="仿宋" w:cs="宋体"/>
                <w:sz w:val="24"/>
                <w:szCs w:val="24"/>
              </w:rPr>
              <w:t>项目发展建议</w:t>
            </w:r>
          </w:p>
        </w:tc>
        <w:tc>
          <w:tcPr>
            <w:tcW w:w="6729" w:type="dxa"/>
            <w:vAlign w:val="center"/>
          </w:tcPr>
          <w:p>
            <w:pPr>
              <w:ind w:firstLine="440"/>
              <w:jc w:val="center"/>
              <w:rPr>
                <w:rFonts w:ascii="仿宋" w:hAnsi="仿宋" w:eastAsia="仿宋" w:cs="宋体"/>
                <w:sz w:val="24"/>
                <w:szCs w:val="24"/>
              </w:rPr>
            </w:pPr>
            <w:r>
              <w:rPr>
                <w:rFonts w:hint="eastAsia" w:ascii="仿宋" w:hAnsi="仿宋" w:eastAsia="仿宋" w:cs="宋体"/>
                <w:sz w:val="24"/>
                <w:szCs w:val="24"/>
              </w:rPr>
              <w:t>工程预留条件</w:t>
            </w:r>
          </w:p>
        </w:tc>
      </w:tr>
    </w:tbl>
    <w:p>
      <w:pPr>
        <w:spacing w:line="360" w:lineRule="auto"/>
        <w:ind w:firstLine="200"/>
        <w:rPr>
          <w:rFonts w:ascii="宋体" w:hAnsi="宋体"/>
          <w:sz w:val="24"/>
          <w:szCs w:val="24"/>
        </w:rPr>
      </w:pPr>
      <w:bookmarkStart w:id="4" w:name="_Toc57731947"/>
      <w:r>
        <w:rPr>
          <w:rFonts w:hint="eastAsia" w:ascii="宋体" w:hAnsi="宋体"/>
          <w:sz w:val="24"/>
          <w:szCs w:val="24"/>
        </w:rPr>
        <w:t>2.设计优化咨询；</w:t>
      </w:r>
    </w:p>
    <w:p>
      <w:pPr>
        <w:spacing w:line="360" w:lineRule="auto"/>
        <w:ind w:firstLine="200"/>
        <w:rPr>
          <w:rFonts w:ascii="宋体" w:hAnsi="宋体"/>
          <w:sz w:val="24"/>
          <w:szCs w:val="24"/>
        </w:rPr>
      </w:pPr>
      <w:r>
        <w:rPr>
          <w:rFonts w:hint="eastAsia" w:ascii="宋体" w:hAnsi="宋体"/>
          <w:sz w:val="24"/>
          <w:szCs w:val="24"/>
        </w:rPr>
        <w:t>在目前的设计深度上，提出建筑设计平面优化建议，铺位分割调整建议、内外部动线、物流动线等垂直及水平交通组织等。</w:t>
      </w:r>
    </w:p>
    <w:p>
      <w:pPr>
        <w:numPr>
          <w:ilvl w:val="0"/>
          <w:numId w:val="2"/>
        </w:numPr>
        <w:tabs>
          <w:tab w:val="left" w:pos="1260"/>
        </w:tabs>
        <w:spacing w:before="260" w:after="260" w:line="360" w:lineRule="auto"/>
        <w:ind w:firstLine="200"/>
        <w:outlineLvl w:val="2"/>
        <w:rPr>
          <w:rFonts w:ascii="宋体" w:hAnsi="宋体"/>
          <w:b/>
          <w:sz w:val="24"/>
          <w:szCs w:val="24"/>
        </w:rPr>
      </w:pPr>
      <w:r>
        <w:rPr>
          <w:rFonts w:hint="eastAsia" w:ascii="宋体" w:hAnsi="宋体"/>
          <w:b/>
          <w:sz w:val="24"/>
          <w:szCs w:val="24"/>
        </w:rPr>
        <w:t>比选控制价格</w:t>
      </w:r>
      <w:bookmarkEnd w:id="4"/>
    </w:p>
    <w:p>
      <w:pPr>
        <w:tabs>
          <w:tab w:val="left" w:pos="1260"/>
        </w:tabs>
        <w:spacing w:before="260" w:after="260" w:line="360" w:lineRule="auto"/>
        <w:ind w:firstLine="200"/>
        <w:outlineLvl w:val="2"/>
        <w:rPr>
          <w:rFonts w:hAnsi="宋体"/>
          <w:sz w:val="24"/>
          <w:szCs w:val="24"/>
        </w:rPr>
      </w:pPr>
      <w:r>
        <w:rPr>
          <w:rFonts w:hint="eastAsia" w:hAnsi="宋体"/>
          <w:sz w:val="24"/>
          <w:szCs w:val="24"/>
        </w:rPr>
        <w:t>前海时代项目4号地块商业策划及设计优化咨询总费用控制在45万元以内（含税）。</w:t>
      </w:r>
    </w:p>
    <w:p>
      <w:pPr>
        <w:tabs>
          <w:tab w:val="left" w:pos="1260"/>
        </w:tabs>
        <w:spacing w:before="260" w:after="260" w:line="360" w:lineRule="auto"/>
        <w:ind w:firstLine="200"/>
        <w:outlineLvl w:val="2"/>
        <w:rPr>
          <w:rFonts w:ascii="宋体" w:hAnsi="宋体"/>
          <w:b/>
          <w:sz w:val="24"/>
          <w:szCs w:val="24"/>
        </w:rPr>
      </w:pPr>
      <w:bookmarkStart w:id="5" w:name="_Toc57731948"/>
      <w:r>
        <w:rPr>
          <w:rFonts w:hint="eastAsia" w:ascii="宋体" w:hAnsi="宋体"/>
          <w:b/>
          <w:sz w:val="24"/>
          <w:szCs w:val="24"/>
        </w:rPr>
        <w:t>四、参选人资格要求</w:t>
      </w:r>
      <w:bookmarkEnd w:id="5"/>
    </w:p>
    <w:p>
      <w:pPr>
        <w:snapToGrid w:val="0"/>
        <w:spacing w:line="360" w:lineRule="auto"/>
        <w:ind w:firstLine="480"/>
        <w:rPr>
          <w:rFonts w:ascii="宋体" w:hAnsi="宋体" w:cs="宋体"/>
          <w:sz w:val="24"/>
          <w:szCs w:val="24"/>
        </w:rPr>
      </w:pPr>
      <w:r>
        <w:rPr>
          <w:rFonts w:ascii="宋体" w:hAnsi="宋体" w:cs="宋体"/>
          <w:sz w:val="24"/>
          <w:szCs w:val="24"/>
        </w:rPr>
        <w:t>（一）成立时间：2019年1月1日之前成立。</w:t>
      </w:r>
    </w:p>
    <w:p>
      <w:pPr>
        <w:snapToGrid w:val="0"/>
        <w:spacing w:line="360" w:lineRule="auto"/>
        <w:ind w:firstLine="480"/>
        <w:rPr>
          <w:rFonts w:ascii="宋体" w:hAnsi="宋体" w:cs="宋体"/>
          <w:sz w:val="24"/>
          <w:szCs w:val="24"/>
        </w:rPr>
      </w:pPr>
      <w:r>
        <w:rPr>
          <w:rFonts w:ascii="宋体" w:hAnsi="宋体" w:cs="宋体"/>
          <w:sz w:val="24"/>
          <w:szCs w:val="24"/>
        </w:rPr>
        <w:t xml:space="preserve">（二）执业资质： / </w:t>
      </w:r>
    </w:p>
    <w:p>
      <w:pPr>
        <w:snapToGrid w:val="0"/>
        <w:spacing w:line="360" w:lineRule="auto"/>
        <w:ind w:firstLine="480"/>
        <w:rPr>
          <w:rFonts w:ascii="宋体" w:hAnsi="宋体" w:cs="宋体"/>
          <w:sz w:val="24"/>
          <w:szCs w:val="24"/>
        </w:rPr>
      </w:pPr>
      <w:r>
        <w:rPr>
          <w:rFonts w:ascii="宋体" w:hAnsi="宋体" w:cs="宋体"/>
          <w:sz w:val="24"/>
          <w:szCs w:val="24"/>
        </w:rPr>
        <w:t>（三）公司业绩：2018年1月1日至今，提供一个5万平米以上商业策划服务案例。</w:t>
      </w:r>
    </w:p>
    <w:p>
      <w:pPr>
        <w:snapToGrid w:val="0"/>
        <w:spacing w:line="360" w:lineRule="auto"/>
        <w:ind w:firstLine="480"/>
        <w:rPr>
          <w:rFonts w:ascii="宋体" w:hAnsi="宋体" w:cs="宋体"/>
          <w:sz w:val="24"/>
          <w:szCs w:val="24"/>
        </w:rPr>
      </w:pPr>
      <w:r>
        <w:rPr>
          <w:rFonts w:ascii="宋体" w:hAnsi="宋体" w:cs="宋体"/>
          <w:sz w:val="24"/>
          <w:szCs w:val="24"/>
        </w:rPr>
        <w:t>备注:以上业绩证明材料需提供相关的合同复印件或报告封面及盖章相关页。</w:t>
      </w:r>
    </w:p>
    <w:p>
      <w:pPr>
        <w:snapToGrid w:val="0"/>
        <w:spacing w:line="360" w:lineRule="auto"/>
        <w:ind w:firstLine="480"/>
        <w:rPr>
          <w:rFonts w:ascii="宋体" w:hAnsi="宋体" w:cs="宋体"/>
          <w:sz w:val="24"/>
          <w:szCs w:val="24"/>
        </w:rPr>
      </w:pPr>
      <w:r>
        <w:rPr>
          <w:rFonts w:ascii="宋体" w:hAnsi="宋体" w:cs="宋体"/>
          <w:sz w:val="24"/>
          <w:szCs w:val="24"/>
        </w:rPr>
        <w:t xml:space="preserve">（四）其它要求： / </w:t>
      </w:r>
    </w:p>
    <w:p>
      <w:pPr>
        <w:snapToGrid w:val="0"/>
        <w:spacing w:line="360" w:lineRule="auto"/>
        <w:ind w:firstLine="480"/>
        <w:rPr>
          <w:rFonts w:ascii="宋体" w:hAnsi="宋体" w:cs="宋体"/>
          <w:sz w:val="24"/>
          <w:szCs w:val="24"/>
        </w:rPr>
      </w:pPr>
      <w:r>
        <w:rPr>
          <w:rFonts w:ascii="宋体" w:hAnsi="宋体" w:cs="宋体"/>
          <w:sz w:val="24"/>
          <w:szCs w:val="24"/>
        </w:rPr>
        <w:t>（五）2018年1月1日以来，有串通参选不良行为记录或涉嫌串</w:t>
      </w:r>
    </w:p>
    <w:p>
      <w:pPr>
        <w:snapToGrid w:val="0"/>
        <w:spacing w:line="360" w:lineRule="auto"/>
        <w:ind w:firstLine="480"/>
        <w:rPr>
          <w:rFonts w:ascii="宋体" w:hAnsi="宋体" w:cs="宋体"/>
          <w:sz w:val="24"/>
          <w:szCs w:val="24"/>
        </w:rPr>
      </w:pPr>
      <w:r>
        <w:rPr>
          <w:rFonts w:ascii="宋体" w:hAnsi="宋体" w:cs="宋体"/>
          <w:sz w:val="24"/>
          <w:szCs w:val="24"/>
        </w:rPr>
        <w:t>通参选，并正在接受城市主管部门调查的参选申请人不得参选。</w:t>
      </w:r>
    </w:p>
    <w:p>
      <w:pPr>
        <w:snapToGrid w:val="0"/>
        <w:spacing w:line="360" w:lineRule="auto"/>
        <w:ind w:firstLine="480"/>
        <w:rPr>
          <w:rFonts w:ascii="宋体" w:hAnsi="宋体" w:cs="宋体"/>
          <w:sz w:val="24"/>
          <w:szCs w:val="24"/>
        </w:rPr>
      </w:pPr>
      <w:r>
        <w:rPr>
          <w:rFonts w:ascii="宋体" w:hAnsi="宋体" w:cs="宋体"/>
          <w:sz w:val="24"/>
          <w:szCs w:val="24"/>
        </w:rPr>
        <w:t>（六）不接受联合体投标。</w:t>
      </w:r>
    </w:p>
    <w:p>
      <w:pPr>
        <w:snapToGrid w:val="0"/>
        <w:spacing w:line="360" w:lineRule="auto"/>
        <w:ind w:firstLine="480"/>
        <w:rPr>
          <w:rFonts w:ascii="宋体" w:hAnsi="宋体" w:cs="宋体"/>
          <w:sz w:val="24"/>
          <w:szCs w:val="24"/>
        </w:rPr>
      </w:pPr>
      <w:r>
        <w:rPr>
          <w:rFonts w:ascii="宋体" w:hAnsi="宋体" w:cs="宋体"/>
          <w:sz w:val="24"/>
          <w:szCs w:val="24"/>
        </w:rPr>
        <w:t>（七）存在以下情况的参选人将不被接受参选：</w:t>
      </w:r>
    </w:p>
    <w:p>
      <w:pPr>
        <w:snapToGrid w:val="0"/>
        <w:spacing w:line="360" w:lineRule="auto"/>
        <w:ind w:firstLine="480"/>
        <w:rPr>
          <w:rFonts w:ascii="宋体" w:hAnsi="宋体" w:cs="宋体"/>
          <w:sz w:val="24"/>
          <w:szCs w:val="24"/>
        </w:rPr>
      </w:pPr>
      <w:r>
        <w:rPr>
          <w:rFonts w:ascii="宋体" w:hAnsi="宋体" w:cs="宋体"/>
          <w:sz w:val="24"/>
          <w:szCs w:val="24"/>
        </w:rPr>
        <w:t>1．近五年内与地铁集团合作项目有违约情况发生的参选人。</w:t>
      </w:r>
    </w:p>
    <w:p>
      <w:pPr>
        <w:snapToGrid w:val="0"/>
        <w:spacing w:line="360" w:lineRule="auto"/>
        <w:ind w:firstLine="480"/>
        <w:rPr>
          <w:rFonts w:ascii="宋体" w:hAnsi="宋体" w:cs="宋体"/>
          <w:sz w:val="24"/>
          <w:szCs w:val="24"/>
        </w:rPr>
      </w:pPr>
      <w:r>
        <w:rPr>
          <w:rFonts w:ascii="宋体" w:hAnsi="宋体" w:cs="宋体"/>
          <w:sz w:val="24"/>
          <w:szCs w:val="24"/>
        </w:rPr>
        <w:t>2．近五年内由于参选人工作失误等原因导致与地铁集团产生诉讼或仲裁案件的参选人。</w:t>
      </w:r>
    </w:p>
    <w:p>
      <w:pPr>
        <w:snapToGrid w:val="0"/>
        <w:spacing w:line="360" w:lineRule="auto"/>
        <w:ind w:firstLine="480"/>
        <w:rPr>
          <w:rFonts w:ascii="宋体" w:hAnsi="宋体"/>
          <w:sz w:val="24"/>
          <w:szCs w:val="24"/>
        </w:rPr>
      </w:pPr>
      <w:r>
        <w:rPr>
          <w:rFonts w:ascii="宋体" w:hAnsi="宋体" w:cs="宋体"/>
          <w:sz w:val="24"/>
          <w:szCs w:val="24"/>
        </w:rPr>
        <w:t>3. 在招参选（询价）活动（包括在地铁集团项目）中因串通参选（报价）被暂停参选（报价）资格期间；或涉嫌串通参选（报价）并正在接受主管部门调查的；或自2017年以来在深圳市地铁集团有限公司或其下属单位有不良行为记录的参选人。</w:t>
      </w:r>
      <w:bookmarkStart w:id="6" w:name="_Toc57731949"/>
    </w:p>
    <w:p>
      <w:pPr>
        <w:spacing w:line="360" w:lineRule="auto"/>
        <w:ind w:firstLine="200"/>
        <w:rPr>
          <w:rFonts w:ascii="宋体" w:hAnsi="宋体"/>
          <w:b/>
          <w:sz w:val="24"/>
          <w:szCs w:val="24"/>
        </w:rPr>
      </w:pPr>
    </w:p>
    <w:p>
      <w:pPr>
        <w:spacing w:line="360" w:lineRule="auto"/>
        <w:ind w:firstLine="200"/>
        <w:rPr>
          <w:rFonts w:ascii="宋体" w:hAnsi="宋体"/>
          <w:b/>
          <w:sz w:val="24"/>
          <w:szCs w:val="24"/>
        </w:rPr>
      </w:pPr>
      <w:r>
        <w:rPr>
          <w:rFonts w:hint="eastAsia" w:ascii="宋体" w:hAnsi="宋体"/>
          <w:b/>
          <w:sz w:val="24"/>
          <w:szCs w:val="24"/>
        </w:rPr>
        <w:t>五、参选时间、</w:t>
      </w:r>
      <w:r>
        <w:rPr>
          <w:rFonts w:ascii="宋体" w:hAnsi="宋体"/>
          <w:b/>
          <w:sz w:val="24"/>
          <w:szCs w:val="24"/>
        </w:rPr>
        <w:t>地点</w:t>
      </w:r>
      <w:bookmarkEnd w:id="6"/>
    </w:p>
    <w:p>
      <w:pPr>
        <w:spacing w:line="360" w:lineRule="auto"/>
        <w:ind w:firstLine="200"/>
        <w:rPr>
          <w:rFonts w:ascii="宋体" w:hAnsi="宋体"/>
          <w:b/>
          <w:sz w:val="24"/>
          <w:szCs w:val="24"/>
        </w:rPr>
      </w:pPr>
    </w:p>
    <w:tbl>
      <w:tblPr>
        <w:tblStyle w:val="7"/>
        <w:tblW w:w="9042"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09"/>
        <w:gridCol w:w="1511"/>
        <w:gridCol w:w="2466"/>
        <w:gridCol w:w="4356"/>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709" w:type="dxa"/>
            <w:tcBorders>
              <w:top w:val="single" w:color="auto" w:sz="4" w:space="0"/>
              <w:left w:val="single" w:color="auto" w:sz="4" w:space="0"/>
              <w:bottom w:val="single" w:color="auto" w:sz="4" w:space="0"/>
              <w:right w:val="single" w:color="auto" w:sz="4" w:space="0"/>
            </w:tcBorders>
            <w:shd w:val="clear" w:color="000000" w:fill="808080"/>
          </w:tcPr>
          <w:p>
            <w:pPr>
              <w:pStyle w:val="4"/>
              <w:snapToGrid w:val="0"/>
              <w:spacing w:line="240" w:lineRule="auto"/>
              <w:ind w:left="0" w:leftChars="0" w:firstLine="0"/>
              <w:jc w:val="center"/>
              <w:rPr>
                <w:rFonts w:ascii="楷体" w:hAnsi="楷体" w:eastAsia="楷体"/>
                <w:color w:val="FFFFFF"/>
                <w:sz w:val="21"/>
                <w:szCs w:val="21"/>
              </w:rPr>
            </w:pPr>
            <w:r>
              <w:rPr>
                <w:rFonts w:hint="eastAsia" w:ascii="楷体" w:hAnsi="楷体" w:eastAsia="楷体"/>
                <w:color w:val="FFFFFF"/>
                <w:sz w:val="21"/>
                <w:szCs w:val="21"/>
              </w:rPr>
              <w:t>序号</w:t>
            </w:r>
          </w:p>
        </w:tc>
        <w:tc>
          <w:tcPr>
            <w:tcW w:w="1511" w:type="dxa"/>
            <w:tcBorders>
              <w:top w:val="single" w:color="auto" w:sz="4" w:space="0"/>
              <w:left w:val="single" w:color="auto" w:sz="4" w:space="0"/>
              <w:bottom w:val="single" w:color="auto" w:sz="4" w:space="0"/>
              <w:right w:val="single" w:color="auto" w:sz="4" w:space="0"/>
            </w:tcBorders>
            <w:shd w:val="clear" w:color="000000" w:fill="808080"/>
          </w:tcPr>
          <w:p>
            <w:pPr>
              <w:pStyle w:val="4"/>
              <w:snapToGrid w:val="0"/>
              <w:spacing w:line="240" w:lineRule="auto"/>
              <w:ind w:left="0" w:leftChars="0" w:firstLine="0"/>
              <w:jc w:val="center"/>
              <w:rPr>
                <w:rFonts w:ascii="楷体" w:hAnsi="楷体" w:eastAsia="楷体"/>
                <w:color w:val="FFFFFF"/>
                <w:sz w:val="21"/>
                <w:szCs w:val="21"/>
              </w:rPr>
            </w:pPr>
            <w:r>
              <w:rPr>
                <w:rFonts w:hint="eastAsia" w:ascii="楷体" w:hAnsi="楷体" w:eastAsia="楷体"/>
                <w:color w:val="FFFFFF"/>
                <w:sz w:val="21"/>
                <w:szCs w:val="21"/>
              </w:rPr>
              <w:t>内  容</w:t>
            </w:r>
          </w:p>
        </w:tc>
        <w:tc>
          <w:tcPr>
            <w:tcW w:w="2466" w:type="dxa"/>
            <w:tcBorders>
              <w:top w:val="single" w:color="auto" w:sz="4" w:space="0"/>
              <w:left w:val="single" w:color="auto" w:sz="4" w:space="0"/>
              <w:bottom w:val="single" w:color="auto" w:sz="4" w:space="0"/>
              <w:right w:val="single" w:color="auto" w:sz="4" w:space="0"/>
            </w:tcBorders>
            <w:shd w:val="clear" w:color="000000" w:fill="808080"/>
          </w:tcPr>
          <w:p>
            <w:pPr>
              <w:pStyle w:val="4"/>
              <w:snapToGrid w:val="0"/>
              <w:spacing w:line="240" w:lineRule="auto"/>
              <w:ind w:left="0" w:leftChars="0" w:firstLine="0"/>
              <w:jc w:val="center"/>
              <w:rPr>
                <w:rFonts w:ascii="楷体" w:hAnsi="楷体" w:eastAsia="楷体"/>
                <w:color w:val="FFFFFF"/>
                <w:sz w:val="21"/>
                <w:szCs w:val="21"/>
              </w:rPr>
            </w:pPr>
            <w:r>
              <w:rPr>
                <w:rFonts w:hint="eastAsia" w:ascii="楷体" w:hAnsi="楷体" w:eastAsia="楷体"/>
                <w:color w:val="FFFFFF"/>
                <w:sz w:val="21"/>
                <w:szCs w:val="21"/>
              </w:rPr>
              <w:t>时间安排</w:t>
            </w:r>
          </w:p>
        </w:tc>
        <w:tc>
          <w:tcPr>
            <w:tcW w:w="4356" w:type="dxa"/>
            <w:tcBorders>
              <w:top w:val="single" w:color="auto" w:sz="4" w:space="0"/>
              <w:left w:val="single" w:color="auto" w:sz="4" w:space="0"/>
              <w:bottom w:val="single" w:color="auto" w:sz="4" w:space="0"/>
              <w:right w:val="single" w:color="auto" w:sz="4" w:space="0"/>
            </w:tcBorders>
            <w:shd w:val="clear" w:color="000000" w:fill="808080"/>
          </w:tcPr>
          <w:p>
            <w:pPr>
              <w:pStyle w:val="4"/>
              <w:snapToGrid w:val="0"/>
              <w:spacing w:line="240" w:lineRule="auto"/>
              <w:ind w:left="0" w:leftChars="0" w:firstLine="0"/>
              <w:jc w:val="center"/>
              <w:rPr>
                <w:rFonts w:ascii="楷体" w:hAnsi="楷体" w:eastAsia="楷体"/>
                <w:color w:val="FFFFFF"/>
                <w:sz w:val="21"/>
                <w:szCs w:val="21"/>
              </w:rPr>
            </w:pPr>
            <w:r>
              <w:rPr>
                <w:rFonts w:hint="eastAsia" w:ascii="楷体" w:hAnsi="楷体" w:eastAsia="楷体"/>
                <w:color w:val="FFFFFF"/>
                <w:sz w:val="21"/>
                <w:szCs w:val="21"/>
              </w:rPr>
              <w:t>备  注</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4"/>
              <w:snapToGrid w:val="0"/>
              <w:spacing w:line="240" w:lineRule="auto"/>
              <w:ind w:left="0" w:leftChars="0" w:firstLine="0"/>
              <w:jc w:val="center"/>
              <w:rPr>
                <w:rFonts w:ascii="宋体" w:hAnsi="宋体"/>
                <w:sz w:val="24"/>
                <w:szCs w:val="24"/>
              </w:rPr>
            </w:pPr>
            <w:r>
              <w:rPr>
                <w:rFonts w:hint="eastAsia" w:ascii="宋体" w:hAnsi="宋体"/>
                <w:sz w:val="24"/>
                <w:szCs w:val="24"/>
              </w:rPr>
              <w:t>1</w:t>
            </w:r>
          </w:p>
        </w:tc>
        <w:tc>
          <w:tcPr>
            <w:tcW w:w="1511" w:type="dxa"/>
            <w:tcBorders>
              <w:top w:val="single" w:color="auto" w:sz="4" w:space="0"/>
              <w:left w:val="single" w:color="auto" w:sz="4" w:space="0"/>
              <w:bottom w:val="single" w:color="auto" w:sz="4" w:space="0"/>
              <w:right w:val="single" w:color="auto" w:sz="4" w:space="0"/>
            </w:tcBorders>
            <w:vAlign w:val="center"/>
          </w:tcPr>
          <w:p>
            <w:pPr>
              <w:pStyle w:val="4"/>
              <w:snapToGrid w:val="0"/>
              <w:spacing w:line="240" w:lineRule="auto"/>
              <w:ind w:left="0" w:leftChars="0" w:firstLine="0"/>
              <w:jc w:val="center"/>
              <w:rPr>
                <w:rFonts w:ascii="宋体" w:hAnsi="宋体"/>
                <w:sz w:val="24"/>
                <w:szCs w:val="24"/>
              </w:rPr>
            </w:pPr>
            <w:r>
              <w:rPr>
                <w:rFonts w:hint="eastAsia" w:ascii="宋体" w:hAnsi="宋体"/>
                <w:sz w:val="24"/>
                <w:szCs w:val="24"/>
              </w:rPr>
              <w:t>发布比选公告（发标）</w:t>
            </w:r>
          </w:p>
        </w:tc>
        <w:tc>
          <w:tcPr>
            <w:tcW w:w="246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7月</w:t>
            </w:r>
            <w:r>
              <w:rPr>
                <w:rFonts w:ascii="宋体" w:hAnsi="宋体"/>
                <w:sz w:val="24"/>
                <w:szCs w:val="24"/>
              </w:rPr>
              <w:t xml:space="preserve"> 15 日</w:t>
            </w:r>
            <w:bookmarkStart w:id="8" w:name="_GoBack"/>
            <w:bookmarkEnd w:id="8"/>
          </w:p>
        </w:tc>
        <w:tc>
          <w:tcPr>
            <w:tcW w:w="4356" w:type="dxa"/>
            <w:tcBorders>
              <w:top w:val="single" w:color="auto" w:sz="4" w:space="0"/>
              <w:left w:val="single" w:color="auto" w:sz="4" w:space="0"/>
              <w:bottom w:val="single" w:color="auto" w:sz="4" w:space="0"/>
              <w:right w:val="single" w:color="auto" w:sz="4" w:space="0"/>
            </w:tcBorders>
            <w:vAlign w:val="center"/>
          </w:tcPr>
          <w:p>
            <w:pPr>
              <w:pStyle w:val="4"/>
              <w:snapToGrid w:val="0"/>
              <w:spacing w:line="240" w:lineRule="auto"/>
              <w:ind w:left="641" w:leftChars="92" w:hanging="448"/>
              <w:jc w:val="left"/>
              <w:rPr>
                <w:rFonts w:ascii="宋体" w:hAnsi="宋体"/>
                <w:sz w:val="24"/>
                <w:szCs w:val="24"/>
              </w:rPr>
            </w:pPr>
            <w:r>
              <w:rPr>
                <w:rFonts w:hint="eastAsia" w:ascii="宋体" w:hAnsi="宋体"/>
                <w:sz w:val="24"/>
                <w:szCs w:val="24"/>
              </w:rPr>
              <w:t>深圳市地铁集团有限公司外网</w:t>
            </w:r>
            <w:r>
              <w:rPr>
                <w:rFonts w:hint="eastAsia" w:ascii="宋体" w:hAnsi="宋体"/>
                <w:color w:val="000000"/>
                <w:sz w:val="24"/>
                <w:szCs w:val="24"/>
              </w:rPr>
              <w:t>、</w:t>
            </w:r>
            <w:r>
              <w:rPr>
                <w:rFonts w:hint="eastAsia" w:ascii="宋体" w:hAnsi="宋体"/>
                <w:sz w:val="24"/>
                <w:szCs w:val="24"/>
              </w:rPr>
              <w:t>国资委</w:t>
            </w:r>
            <w:r>
              <w:rPr>
                <w:rFonts w:ascii="宋体" w:hAnsi="宋体"/>
                <w:sz w:val="24"/>
                <w:szCs w:val="24"/>
              </w:rPr>
              <w:t>阳光采购平台</w:t>
            </w:r>
            <w:r>
              <w:rPr>
                <w:rFonts w:hint="eastAsia" w:ascii="宋体" w:hAnsi="宋体"/>
                <w:sz w:val="24"/>
                <w:szCs w:val="24"/>
              </w:rPr>
              <w:t>、深铁置业微信订阅号</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4"/>
              <w:snapToGrid w:val="0"/>
              <w:spacing w:line="240" w:lineRule="auto"/>
              <w:ind w:left="0" w:leftChars="0" w:firstLine="0"/>
              <w:jc w:val="center"/>
              <w:rPr>
                <w:rFonts w:ascii="宋体" w:hAnsi="宋体"/>
                <w:sz w:val="24"/>
                <w:szCs w:val="24"/>
              </w:rPr>
            </w:pPr>
            <w:r>
              <w:rPr>
                <w:rFonts w:ascii="宋体" w:hAnsi="宋体"/>
                <w:sz w:val="24"/>
                <w:szCs w:val="24"/>
              </w:rPr>
              <w:t>2</w:t>
            </w:r>
          </w:p>
        </w:tc>
        <w:tc>
          <w:tcPr>
            <w:tcW w:w="1511" w:type="dxa"/>
            <w:tcBorders>
              <w:top w:val="single" w:color="auto" w:sz="4" w:space="0"/>
              <w:left w:val="single" w:color="auto" w:sz="4" w:space="0"/>
              <w:bottom w:val="single" w:color="auto" w:sz="4" w:space="0"/>
              <w:right w:val="single" w:color="auto" w:sz="4" w:space="0"/>
            </w:tcBorders>
            <w:vAlign w:val="center"/>
          </w:tcPr>
          <w:p>
            <w:pPr>
              <w:pStyle w:val="4"/>
              <w:snapToGrid w:val="0"/>
              <w:spacing w:line="240" w:lineRule="auto"/>
              <w:ind w:left="0" w:leftChars="0" w:firstLine="0"/>
              <w:jc w:val="center"/>
              <w:rPr>
                <w:rFonts w:ascii="宋体" w:hAnsi="宋体"/>
                <w:sz w:val="24"/>
                <w:szCs w:val="24"/>
              </w:rPr>
            </w:pPr>
            <w:r>
              <w:rPr>
                <w:rFonts w:ascii="宋体" w:hAnsi="宋体"/>
                <w:sz w:val="24"/>
                <w:szCs w:val="24"/>
              </w:rPr>
              <w:t>截</w:t>
            </w:r>
            <w:r>
              <w:rPr>
                <w:rFonts w:hint="eastAsia" w:ascii="宋体" w:hAnsi="宋体"/>
                <w:sz w:val="24"/>
                <w:szCs w:val="24"/>
              </w:rPr>
              <w:t>标</w:t>
            </w:r>
          </w:p>
        </w:tc>
        <w:tc>
          <w:tcPr>
            <w:tcW w:w="246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 w:val="24"/>
                <w:szCs w:val="24"/>
              </w:rPr>
            </w:pPr>
            <w:r>
              <w:rPr>
                <w:rFonts w:hint="eastAsia" w:ascii="宋体" w:hAnsi="宋体"/>
                <w:sz w:val="24"/>
                <w:szCs w:val="24"/>
              </w:rPr>
              <w:t xml:space="preserve">  7 月 27  </w:t>
            </w:r>
            <w:r>
              <w:rPr>
                <w:rFonts w:ascii="宋体" w:hAnsi="宋体"/>
                <w:sz w:val="24"/>
                <w:szCs w:val="24"/>
              </w:rPr>
              <w:t>日</w:t>
            </w:r>
          </w:p>
          <w:p>
            <w:pPr>
              <w:snapToGrid w:val="0"/>
              <w:jc w:val="center"/>
              <w:rPr>
                <w:rFonts w:ascii="宋体" w:hAnsi="宋体"/>
                <w:sz w:val="24"/>
                <w:szCs w:val="24"/>
              </w:rPr>
            </w:pPr>
            <w:r>
              <w:rPr>
                <w:rFonts w:hint="eastAsia" w:ascii="宋体" w:hAnsi="宋体"/>
                <w:sz w:val="24"/>
                <w:szCs w:val="24"/>
              </w:rPr>
              <w:t>上午09:30</w:t>
            </w:r>
          </w:p>
        </w:tc>
        <w:tc>
          <w:tcPr>
            <w:tcW w:w="4356" w:type="dxa"/>
            <w:tcBorders>
              <w:top w:val="single" w:color="auto" w:sz="4" w:space="0"/>
              <w:left w:val="single" w:color="auto" w:sz="4" w:space="0"/>
              <w:bottom w:val="single" w:color="auto" w:sz="4" w:space="0"/>
              <w:right w:val="single" w:color="auto" w:sz="4" w:space="0"/>
            </w:tcBorders>
            <w:vAlign w:val="center"/>
          </w:tcPr>
          <w:p>
            <w:pPr>
              <w:pStyle w:val="4"/>
              <w:snapToGrid w:val="0"/>
              <w:spacing w:line="240" w:lineRule="auto"/>
              <w:ind w:left="296" w:leftChars="141" w:firstLine="0"/>
              <w:jc w:val="left"/>
              <w:rPr>
                <w:rFonts w:ascii="宋体" w:hAnsi="宋体"/>
                <w:sz w:val="24"/>
                <w:szCs w:val="24"/>
              </w:rPr>
            </w:pPr>
            <w:r>
              <w:rPr>
                <w:rFonts w:hint="eastAsia" w:ascii="宋体" w:hAnsi="宋体"/>
                <w:sz w:val="24"/>
                <w:szCs w:val="24"/>
              </w:rPr>
              <w:t>参选文件</w:t>
            </w:r>
            <w:r>
              <w:rPr>
                <w:rFonts w:ascii="宋体" w:hAnsi="宋体"/>
                <w:sz w:val="24"/>
                <w:szCs w:val="24"/>
              </w:rPr>
              <w:t>递交</w:t>
            </w:r>
            <w:r>
              <w:rPr>
                <w:rFonts w:hint="eastAsia" w:ascii="宋体" w:hAnsi="宋体"/>
                <w:sz w:val="24"/>
                <w:szCs w:val="24"/>
              </w:rPr>
              <w:t>地点：</w:t>
            </w:r>
            <w:r>
              <w:rPr>
                <w:rFonts w:hint="eastAsia" w:ascii="宋体" w:hAnsi="宋体"/>
                <w:sz w:val="24"/>
                <w:szCs w:val="24"/>
                <w:lang w:val="en-US" w:eastAsia="zh-CN"/>
              </w:rPr>
              <w:t>深</w:t>
            </w:r>
            <w:r>
              <w:rPr>
                <w:rFonts w:hint="eastAsia" w:ascii="宋体" w:hAnsi="宋体"/>
                <w:sz w:val="24"/>
                <w:szCs w:val="24"/>
              </w:rPr>
              <w:t>铁置业大厦会议室</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4"/>
              <w:snapToGrid w:val="0"/>
              <w:spacing w:line="240" w:lineRule="auto"/>
              <w:ind w:left="0" w:leftChars="0" w:firstLine="0"/>
              <w:jc w:val="center"/>
              <w:rPr>
                <w:rFonts w:ascii="宋体" w:hAnsi="宋体"/>
                <w:sz w:val="24"/>
                <w:szCs w:val="24"/>
              </w:rPr>
            </w:pPr>
            <w:r>
              <w:rPr>
                <w:rFonts w:hint="eastAsia" w:ascii="宋体" w:hAnsi="宋体"/>
                <w:sz w:val="24"/>
                <w:szCs w:val="24"/>
              </w:rPr>
              <w:t>3</w:t>
            </w:r>
          </w:p>
        </w:tc>
        <w:tc>
          <w:tcPr>
            <w:tcW w:w="1511" w:type="dxa"/>
            <w:tcBorders>
              <w:top w:val="single" w:color="auto" w:sz="4" w:space="0"/>
              <w:left w:val="single" w:color="auto" w:sz="4" w:space="0"/>
              <w:bottom w:val="single" w:color="auto" w:sz="4" w:space="0"/>
              <w:right w:val="single" w:color="auto" w:sz="4" w:space="0"/>
            </w:tcBorders>
            <w:vAlign w:val="center"/>
          </w:tcPr>
          <w:p>
            <w:pPr>
              <w:pStyle w:val="4"/>
              <w:snapToGrid w:val="0"/>
              <w:spacing w:line="240" w:lineRule="auto"/>
              <w:ind w:left="0" w:leftChars="0" w:firstLine="0"/>
              <w:jc w:val="center"/>
              <w:rPr>
                <w:rFonts w:ascii="宋体" w:hAnsi="宋体"/>
                <w:sz w:val="24"/>
                <w:szCs w:val="24"/>
              </w:rPr>
            </w:pPr>
            <w:r>
              <w:rPr>
                <w:rFonts w:ascii="宋体" w:hAnsi="宋体"/>
                <w:sz w:val="24"/>
                <w:szCs w:val="24"/>
              </w:rPr>
              <w:t>开标</w:t>
            </w:r>
          </w:p>
        </w:tc>
        <w:tc>
          <w:tcPr>
            <w:tcW w:w="246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 w:val="24"/>
                <w:szCs w:val="24"/>
              </w:rPr>
            </w:pPr>
            <w:r>
              <w:rPr>
                <w:rFonts w:hint="eastAsia" w:ascii="宋体" w:hAnsi="宋体"/>
                <w:sz w:val="24"/>
                <w:szCs w:val="24"/>
              </w:rPr>
              <w:t xml:space="preserve">  7  月 27  日         上午0</w:t>
            </w:r>
            <w:r>
              <w:rPr>
                <w:rFonts w:ascii="宋体" w:hAnsi="宋体"/>
                <w:sz w:val="24"/>
                <w:szCs w:val="24"/>
              </w:rPr>
              <w:t>9</w:t>
            </w:r>
            <w:r>
              <w:rPr>
                <w:rFonts w:hint="eastAsia" w:ascii="宋体" w:hAnsi="宋体"/>
                <w:sz w:val="24"/>
                <w:szCs w:val="24"/>
              </w:rPr>
              <w:t>:3</w:t>
            </w:r>
            <w:r>
              <w:rPr>
                <w:rFonts w:ascii="宋体" w:hAnsi="宋体"/>
                <w:sz w:val="24"/>
                <w:szCs w:val="24"/>
              </w:rPr>
              <w:t>0</w:t>
            </w:r>
          </w:p>
        </w:tc>
        <w:tc>
          <w:tcPr>
            <w:tcW w:w="4356" w:type="dxa"/>
            <w:tcBorders>
              <w:top w:val="single" w:color="auto" w:sz="4" w:space="0"/>
              <w:left w:val="single" w:color="auto" w:sz="4" w:space="0"/>
              <w:bottom w:val="single" w:color="auto" w:sz="4" w:space="0"/>
              <w:right w:val="single" w:color="auto" w:sz="4" w:space="0"/>
            </w:tcBorders>
            <w:vAlign w:val="center"/>
          </w:tcPr>
          <w:p>
            <w:pPr>
              <w:pStyle w:val="4"/>
              <w:snapToGrid w:val="0"/>
              <w:spacing w:line="240" w:lineRule="auto"/>
              <w:ind w:left="300" w:leftChars="143" w:firstLine="16"/>
              <w:jc w:val="left"/>
              <w:rPr>
                <w:rFonts w:ascii="宋体" w:hAnsi="宋体"/>
                <w:sz w:val="24"/>
                <w:szCs w:val="24"/>
              </w:rPr>
            </w:pPr>
            <w:r>
              <w:rPr>
                <w:rFonts w:hint="eastAsia" w:ascii="宋体" w:hAnsi="宋体"/>
                <w:sz w:val="24"/>
                <w:szCs w:val="24"/>
              </w:rPr>
              <w:t>开标地点：</w:t>
            </w:r>
            <w:r>
              <w:rPr>
                <w:rFonts w:hint="eastAsia" w:ascii="宋体" w:hAnsi="宋体"/>
                <w:sz w:val="24"/>
                <w:szCs w:val="24"/>
                <w:lang w:val="en-US" w:eastAsia="zh-CN"/>
              </w:rPr>
              <w:t>深铁</w:t>
            </w:r>
            <w:r>
              <w:rPr>
                <w:rFonts w:hint="eastAsia" w:ascii="宋体" w:hAnsi="宋体"/>
                <w:sz w:val="24"/>
                <w:szCs w:val="24"/>
              </w:rPr>
              <w:t>置业大厦会议室</w:t>
            </w:r>
          </w:p>
        </w:tc>
      </w:tr>
    </w:tbl>
    <w:p>
      <w:pPr>
        <w:pStyle w:val="5"/>
        <w:spacing w:line="360" w:lineRule="auto"/>
        <w:ind w:firstLine="200"/>
        <w:rPr>
          <w:rFonts w:hAnsi="宋体"/>
          <w:b/>
          <w:sz w:val="24"/>
          <w:szCs w:val="24"/>
        </w:rPr>
      </w:pPr>
    </w:p>
    <w:p>
      <w:pPr>
        <w:tabs>
          <w:tab w:val="left" w:pos="1260"/>
        </w:tabs>
        <w:spacing w:before="260" w:after="260" w:line="360" w:lineRule="auto"/>
        <w:ind w:firstLine="200"/>
        <w:outlineLvl w:val="2"/>
        <w:rPr>
          <w:rFonts w:ascii="宋体" w:hAnsi="宋体"/>
          <w:b/>
          <w:sz w:val="24"/>
          <w:szCs w:val="24"/>
        </w:rPr>
      </w:pPr>
      <w:bookmarkStart w:id="7" w:name="_Toc57731950"/>
      <w:r>
        <w:rPr>
          <w:rFonts w:hint="eastAsia" w:ascii="宋体" w:hAnsi="宋体"/>
          <w:b/>
          <w:sz w:val="24"/>
          <w:szCs w:val="24"/>
        </w:rPr>
        <w:t>六、参选所需材料</w:t>
      </w:r>
      <w:bookmarkEnd w:id="7"/>
    </w:p>
    <w:p>
      <w:pPr>
        <w:spacing w:line="360" w:lineRule="auto"/>
        <w:ind w:firstLine="200"/>
        <w:rPr>
          <w:rFonts w:ascii="宋体" w:hAnsi="宋体"/>
          <w:sz w:val="24"/>
          <w:szCs w:val="24"/>
        </w:rPr>
      </w:pPr>
      <w:r>
        <w:rPr>
          <w:rFonts w:hint="eastAsia" w:ascii="宋体" w:hAnsi="宋体"/>
          <w:sz w:val="24"/>
          <w:szCs w:val="24"/>
        </w:rPr>
        <w:t>1、根据比选</w:t>
      </w:r>
      <w:r>
        <w:rPr>
          <w:rFonts w:ascii="宋体" w:hAnsi="宋体"/>
          <w:sz w:val="24"/>
          <w:szCs w:val="24"/>
        </w:rPr>
        <w:t>文件编制的参选文件</w:t>
      </w:r>
      <w:r>
        <w:rPr>
          <w:rFonts w:hint="eastAsia" w:ascii="宋体" w:hAnsi="宋体"/>
          <w:sz w:val="24"/>
          <w:szCs w:val="24"/>
        </w:rPr>
        <w:t>；</w:t>
      </w:r>
    </w:p>
    <w:p>
      <w:pPr>
        <w:spacing w:line="360" w:lineRule="auto"/>
        <w:ind w:firstLine="200"/>
        <w:rPr>
          <w:rFonts w:ascii="宋体" w:hAnsi="宋体"/>
          <w:sz w:val="24"/>
          <w:szCs w:val="24"/>
        </w:rPr>
      </w:pPr>
      <w:r>
        <w:rPr>
          <w:rFonts w:hint="eastAsia" w:ascii="宋体" w:hAnsi="宋体"/>
          <w:sz w:val="24"/>
          <w:szCs w:val="24"/>
        </w:rPr>
        <w:t>2、如递交</w:t>
      </w:r>
      <w:r>
        <w:rPr>
          <w:rFonts w:ascii="宋体" w:hAnsi="宋体"/>
          <w:sz w:val="24"/>
          <w:szCs w:val="24"/>
        </w:rPr>
        <w:t>参选文件的参选</w:t>
      </w:r>
      <w:r>
        <w:rPr>
          <w:rFonts w:hint="eastAsia" w:ascii="宋体" w:hAnsi="宋体"/>
          <w:sz w:val="24"/>
          <w:szCs w:val="24"/>
        </w:rPr>
        <w:t>人为参选单位的法定代表人，须携带法定代表人证明书及本人身份证原件和复印件；如报名人不是法定代表人，除携带本人身份证复印件外，还需携带法定代表人证明书和法定代表人身份证复印件及授权</w:t>
      </w:r>
      <w:r>
        <w:rPr>
          <w:rFonts w:ascii="宋体" w:hAnsi="宋体"/>
          <w:sz w:val="24"/>
          <w:szCs w:val="24"/>
        </w:rPr>
        <w:t>委托书</w:t>
      </w:r>
      <w:r>
        <w:rPr>
          <w:rFonts w:hint="eastAsia" w:ascii="宋体" w:hAnsi="宋体"/>
          <w:sz w:val="24"/>
          <w:szCs w:val="24"/>
        </w:rPr>
        <w:t>。</w:t>
      </w:r>
    </w:p>
    <w:p>
      <w:pPr>
        <w:tabs>
          <w:tab w:val="left" w:pos="1260"/>
        </w:tabs>
        <w:spacing w:before="260" w:after="260" w:line="360" w:lineRule="auto"/>
        <w:ind w:firstLine="200"/>
        <w:outlineLvl w:val="2"/>
        <w:rPr>
          <w:rFonts w:ascii="宋体" w:hAnsi="宋体"/>
          <w:b/>
          <w:sz w:val="24"/>
          <w:szCs w:val="24"/>
        </w:rPr>
      </w:pPr>
      <w:r>
        <w:rPr>
          <w:rFonts w:hint="eastAsia" w:ascii="宋体" w:hAnsi="宋体"/>
          <w:b/>
          <w:sz w:val="24"/>
          <w:szCs w:val="24"/>
        </w:rPr>
        <w:t>七、参选联系人</w:t>
      </w:r>
    </w:p>
    <w:p>
      <w:pPr>
        <w:pStyle w:val="5"/>
        <w:spacing w:line="360" w:lineRule="auto"/>
        <w:ind w:firstLine="200"/>
        <w:rPr>
          <w:rFonts w:hAnsi="宋体"/>
          <w:sz w:val="24"/>
          <w:szCs w:val="24"/>
        </w:rPr>
      </w:pPr>
      <w:r>
        <w:rPr>
          <w:rFonts w:hint="eastAsia" w:hAnsi="宋体"/>
          <w:sz w:val="24"/>
          <w:szCs w:val="24"/>
        </w:rPr>
        <w:t>联系人：邱工</w:t>
      </w:r>
    </w:p>
    <w:p>
      <w:pPr>
        <w:pStyle w:val="5"/>
        <w:spacing w:line="360" w:lineRule="auto"/>
        <w:ind w:firstLine="200"/>
        <w:rPr>
          <w:rFonts w:hAnsi="宋体"/>
          <w:sz w:val="24"/>
          <w:szCs w:val="24"/>
        </w:rPr>
      </w:pPr>
      <w:r>
        <w:rPr>
          <w:rFonts w:hint="eastAsia" w:hAnsi="宋体"/>
          <w:sz w:val="24"/>
          <w:szCs w:val="24"/>
        </w:rPr>
        <w:t>联系电话：13823377987</w:t>
      </w:r>
    </w:p>
    <w:p>
      <w:pPr>
        <w:pStyle w:val="5"/>
        <w:spacing w:line="360" w:lineRule="auto"/>
        <w:ind w:firstLine="200"/>
        <w:rPr>
          <w:rFonts w:hAnsi="宋体"/>
          <w:sz w:val="24"/>
          <w:szCs w:val="24"/>
        </w:rPr>
      </w:pPr>
    </w:p>
    <w:p>
      <w:pPr>
        <w:pStyle w:val="5"/>
        <w:spacing w:line="360" w:lineRule="auto"/>
        <w:ind w:firstLine="200"/>
        <w:jc w:val="right"/>
        <w:rPr>
          <w:rFonts w:hAnsi="宋体"/>
          <w:sz w:val="24"/>
          <w:szCs w:val="24"/>
        </w:rPr>
      </w:pPr>
    </w:p>
    <w:p>
      <w:pPr>
        <w:pStyle w:val="5"/>
        <w:spacing w:line="360" w:lineRule="auto"/>
        <w:ind w:firstLine="200"/>
        <w:jc w:val="right"/>
        <w:rPr>
          <w:rFonts w:hAnsi="宋体"/>
          <w:sz w:val="24"/>
          <w:szCs w:val="24"/>
        </w:rPr>
      </w:pPr>
      <w:r>
        <w:rPr>
          <w:rFonts w:hint="eastAsia" w:hAnsi="宋体"/>
          <w:sz w:val="24"/>
          <w:szCs w:val="24"/>
        </w:rPr>
        <w:t>深圳市地铁集团有限公司</w:t>
      </w:r>
    </w:p>
    <w:p>
      <w:pPr>
        <w:pStyle w:val="5"/>
        <w:wordWrap w:val="0"/>
        <w:spacing w:line="360" w:lineRule="auto"/>
        <w:ind w:firstLine="200"/>
        <w:jc w:val="right"/>
        <w:rPr>
          <w:rFonts w:hAnsi="宋体"/>
          <w:sz w:val="24"/>
          <w:szCs w:val="24"/>
        </w:rPr>
      </w:pPr>
      <w:r>
        <w:rPr>
          <w:rFonts w:hint="eastAsia" w:hAnsi="宋体" w:cs="宋体"/>
          <w:sz w:val="24"/>
          <w:szCs w:val="24"/>
        </w:rPr>
        <w:t>            </w:t>
      </w:r>
      <w:r>
        <w:rPr>
          <w:rFonts w:hint="eastAsia" w:hAnsi="宋体"/>
          <w:sz w:val="24"/>
          <w:szCs w:val="24"/>
        </w:rPr>
        <w:t>二○二一年</w:t>
      </w:r>
      <w:r>
        <w:rPr>
          <w:rFonts w:hint="eastAsia" w:hAnsi="宋体"/>
          <w:sz w:val="24"/>
          <w:szCs w:val="24"/>
          <w:lang w:val="en-US" w:eastAsia="zh-CN"/>
        </w:rPr>
        <w:t>七</w:t>
      </w:r>
      <w:r>
        <w:rPr>
          <w:rFonts w:hint="eastAsia" w:hAnsi="宋体"/>
          <w:sz w:val="24"/>
          <w:szCs w:val="24"/>
        </w:rPr>
        <w:t>月十</w:t>
      </w:r>
      <w:r>
        <w:rPr>
          <w:rFonts w:hint="eastAsia" w:hAnsi="宋体"/>
          <w:sz w:val="24"/>
          <w:szCs w:val="24"/>
          <w:lang w:val="en-US" w:eastAsia="zh-CN"/>
        </w:rPr>
        <w:t>五</w:t>
      </w:r>
      <w:r>
        <w:rPr>
          <w:rFonts w:hint="eastAsia" w:hAnsi="宋体"/>
          <w:sz w:val="24"/>
          <w:szCs w:val="24"/>
        </w:rPr>
        <w:t>日</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仿宋_GB2312">
    <w:panose1 w:val="02010609030101010101"/>
    <w:charset w:val="34"/>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00000"/>
    <w:multiLevelType w:val="multilevel"/>
    <w:tmpl w:val="2F000000"/>
    <w:lvl w:ilvl="0" w:tentative="0">
      <w:start w:val="3"/>
      <w:numFmt w:val="chineseCounting"/>
      <w:suff w:val="nothing"/>
      <w:lvlText w:val="%1、"/>
      <w:lvlJc w:val="left"/>
      <w:rPr>
        <w:rFonts w:hint="eastAsia"/>
      </w:rPr>
    </w:lvl>
    <w:lvl w:ilvl="1" w:tentative="0">
      <w:start w:val="3"/>
      <w:numFmt w:val="chineseCounting"/>
      <w:suff w:val="nothing"/>
      <w:lvlText w:val="%1、"/>
      <w:lvlJc w:val="left"/>
      <w:rPr>
        <w:rFonts w:hint="eastAsia"/>
      </w:rPr>
    </w:lvl>
    <w:lvl w:ilvl="2" w:tentative="0">
      <w:start w:val="3"/>
      <w:numFmt w:val="chineseCounting"/>
      <w:suff w:val="nothing"/>
      <w:lvlText w:val="%1、"/>
      <w:lvlJc w:val="left"/>
      <w:rPr>
        <w:rFonts w:hint="eastAsia"/>
      </w:rPr>
    </w:lvl>
    <w:lvl w:ilvl="3" w:tentative="0">
      <w:start w:val="3"/>
      <w:numFmt w:val="chineseCounting"/>
      <w:suff w:val="nothing"/>
      <w:lvlText w:val="%1、"/>
      <w:lvlJc w:val="left"/>
      <w:rPr>
        <w:rFonts w:hint="eastAsia"/>
      </w:rPr>
    </w:lvl>
    <w:lvl w:ilvl="4" w:tentative="0">
      <w:start w:val="3"/>
      <w:numFmt w:val="chineseCounting"/>
      <w:suff w:val="nothing"/>
      <w:lvlText w:val="%1、"/>
      <w:lvlJc w:val="left"/>
      <w:rPr>
        <w:rFonts w:hint="eastAsia"/>
      </w:rPr>
    </w:lvl>
    <w:lvl w:ilvl="5" w:tentative="0">
      <w:start w:val="3"/>
      <w:numFmt w:val="chineseCounting"/>
      <w:suff w:val="nothing"/>
      <w:lvlText w:val="%1、"/>
      <w:lvlJc w:val="left"/>
      <w:rPr>
        <w:rFonts w:hint="eastAsia"/>
      </w:rPr>
    </w:lvl>
    <w:lvl w:ilvl="6" w:tentative="0">
      <w:start w:val="3"/>
      <w:numFmt w:val="chineseCounting"/>
      <w:suff w:val="nothing"/>
      <w:lvlText w:val="%1、"/>
      <w:lvlJc w:val="left"/>
      <w:rPr>
        <w:rFonts w:hint="eastAsia"/>
      </w:rPr>
    </w:lvl>
    <w:lvl w:ilvl="7" w:tentative="0">
      <w:start w:val="3"/>
      <w:numFmt w:val="chineseCounting"/>
      <w:suff w:val="nothing"/>
      <w:lvlText w:val="%1、"/>
      <w:lvlJc w:val="left"/>
      <w:rPr>
        <w:rFonts w:hint="eastAsia"/>
      </w:rPr>
    </w:lvl>
    <w:lvl w:ilvl="8" w:tentative="0">
      <w:start w:val="3"/>
      <w:numFmt w:val="chineseCounting"/>
      <w:suff w:val="nothing"/>
      <w:lvlText w:val="%1、"/>
      <w:lvlJc w:val="left"/>
      <w:rPr>
        <w:rFonts w:hint="eastAsia"/>
      </w:rPr>
    </w:lvl>
  </w:abstractNum>
  <w:abstractNum w:abstractNumId="1">
    <w:nsid w:val="2F000001"/>
    <w:multiLevelType w:val="multilevel"/>
    <w:tmpl w:val="2F000001"/>
    <w:lvl w:ilvl="0" w:tentative="0">
      <w:start w:val="1"/>
      <w:numFmt w:val="decimal"/>
      <w:suff w:val="space"/>
      <w:lvlText w:val="%1."/>
      <w:lvlJc w:val="left"/>
    </w:lvl>
    <w:lvl w:ilvl="1" w:tentative="0">
      <w:start w:val="1"/>
      <w:numFmt w:val="decimal"/>
      <w:suff w:val="space"/>
      <w:lvlText w:val="%1."/>
      <w:lvlJc w:val="left"/>
    </w:lvl>
    <w:lvl w:ilvl="2" w:tentative="0">
      <w:start w:val="1"/>
      <w:numFmt w:val="decimal"/>
      <w:suff w:val="space"/>
      <w:lvlText w:val="%1."/>
      <w:lvlJc w:val="left"/>
    </w:lvl>
    <w:lvl w:ilvl="3" w:tentative="0">
      <w:start w:val="1"/>
      <w:numFmt w:val="decimal"/>
      <w:suff w:val="space"/>
      <w:lvlText w:val="%1."/>
      <w:lvlJc w:val="left"/>
    </w:lvl>
    <w:lvl w:ilvl="4" w:tentative="0">
      <w:start w:val="1"/>
      <w:numFmt w:val="decimal"/>
      <w:suff w:val="space"/>
      <w:lvlText w:val="%1."/>
      <w:lvlJc w:val="left"/>
    </w:lvl>
    <w:lvl w:ilvl="5" w:tentative="0">
      <w:start w:val="1"/>
      <w:numFmt w:val="decimal"/>
      <w:suff w:val="space"/>
      <w:lvlText w:val="%1."/>
      <w:lvlJc w:val="left"/>
    </w:lvl>
    <w:lvl w:ilvl="6" w:tentative="0">
      <w:start w:val="1"/>
      <w:numFmt w:val="decimal"/>
      <w:suff w:val="space"/>
      <w:lvlText w:val="%1."/>
      <w:lvlJc w:val="left"/>
    </w:lvl>
    <w:lvl w:ilvl="7" w:tentative="0">
      <w:start w:val="1"/>
      <w:numFmt w:val="decimal"/>
      <w:suff w:val="space"/>
      <w:lvlText w:val="%1."/>
      <w:lvlJc w:val="left"/>
    </w:lvl>
    <w:lvl w:ilvl="8"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isplayHorizontalDrawingGridEvery w:val="0"/>
  <w:displayVerticalDrawingGridEvery w:val="2"/>
  <w:characterSpacingControl w:val="compressPunctuation"/>
  <w:compat>
    <w:balanceSingleByteDoubleByteWidth/>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AF8"/>
    <w:rsid w:val="00040C22"/>
    <w:rsid w:val="004D3C2C"/>
    <w:rsid w:val="00B76AF8"/>
    <w:rsid w:val="0B0B1439"/>
    <w:rsid w:val="14F43BF0"/>
    <w:rsid w:val="2FC00EA4"/>
    <w:rsid w:val="6B032DCC"/>
    <w:rsid w:val="784F0397"/>
  </w:rsids>
  <m:mathPr>
    <m:mathFont m:val="Cambria Math"/>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8"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Times New Roman" w:hAnsi="Times New Roman" w:eastAsia="宋体" w:cs="Times New Roman"/>
      <w:sz w:val="21"/>
      <w:szCs w:val="21"/>
      <w:lang w:val="en-US" w:eastAsia="zh-CN" w:bidi="ar-SA"/>
    </w:rPr>
  </w:style>
  <w:style w:type="paragraph" w:styleId="2">
    <w:name w:val="heading 2"/>
    <w:basedOn w:val="1"/>
    <w:next w:val="1"/>
    <w:qFormat/>
    <w:uiPriority w:val="8"/>
    <w:pPr>
      <w:spacing w:before="260" w:after="260" w:line="416" w:lineRule="atLeast"/>
      <w:jc w:val="center"/>
      <w:outlineLvl w:val="1"/>
    </w:pPr>
    <w:rPr>
      <w:rFonts w:ascii="黑体" w:hAnsi="Arial" w:eastAsia="黑体"/>
      <w:sz w:val="28"/>
      <w:szCs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line="360" w:lineRule="auto"/>
      <w:ind w:left="540" w:leftChars="540" w:firstLine="150"/>
    </w:pPr>
    <w:rPr>
      <w:sz w:val="20"/>
      <w:szCs w:val="20"/>
    </w:rPr>
  </w:style>
  <w:style w:type="paragraph" w:styleId="5">
    <w:name w:val="Plain Text"/>
    <w:basedOn w:val="1"/>
    <w:qFormat/>
    <w:uiPriority w:val="0"/>
    <w:pPr>
      <w:spacing w:line="312" w:lineRule="atLeast"/>
    </w:pPr>
    <w:rPr>
      <w:rFonts w:ascii="宋体" w:hAnsi="Courier New"/>
      <w:sz w:val="20"/>
      <w:szCs w:val="20"/>
    </w:rPr>
  </w:style>
  <w:style w:type="paragraph" w:styleId="6">
    <w:name w:val="Balloon Text"/>
    <w:basedOn w:val="1"/>
    <w:link w:val="10"/>
    <w:semiHidden/>
    <w:unhideWhenUsed/>
    <w:qFormat/>
    <w:uiPriority w:val="99"/>
    <w:rPr>
      <w:sz w:val="18"/>
      <w:szCs w:val="18"/>
    </w:rPr>
  </w:style>
  <w:style w:type="character" w:styleId="9">
    <w:name w:val="annotation reference"/>
    <w:unhideWhenUsed/>
    <w:qFormat/>
    <w:uiPriority w:val="0"/>
    <w:rPr>
      <w:sz w:val="21"/>
      <w:szCs w:val="21"/>
    </w:rPr>
  </w:style>
  <w:style w:type="character" w:customStyle="1" w:styleId="10">
    <w:name w:val="批注框文本 Char"/>
    <w:basedOn w:val="8"/>
    <w:link w:val="6"/>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213</Words>
  <Characters>1218</Characters>
  <Lines>10</Lines>
  <Paragraphs>2</Paragraphs>
  <TotalTime>0</TotalTime>
  <ScaleCrop>false</ScaleCrop>
  <LinksUpToDate>false</LinksUpToDate>
  <CharactersWithSpaces>1429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2021-07-14T08:22:00Z</dcterms:created>
  <dc:creator>dell</dc:creator>
  <cp:lastModifiedBy>NTKO</cp:lastModifiedBy>
  <dcterms:modified xsi:type="dcterms:W3CDTF">2021-07-15T02:43:07Z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