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0" w:firstLine="0"/>
        <w:jc w:val="center"/>
        <w:rPr>
          <w:rFonts w:ascii="宋体" w:hAnsi="宋体"/>
          <w:b w:val="0"/>
          <w:kern w:val="44"/>
          <w:sz w:val="44"/>
          <w:szCs w:val="44"/>
        </w:rPr>
      </w:pPr>
      <w:bookmarkStart w:id="0" w:name="_Toc434234570"/>
      <w:bookmarkStart w:id="1" w:name="_Toc62476332"/>
      <w:r>
        <w:rPr>
          <w:rFonts w:hint="eastAsia" w:ascii="宋体" w:hAnsi="宋体"/>
          <w:b w:val="0"/>
          <w:kern w:val="44"/>
          <w:sz w:val="44"/>
          <w:szCs w:val="44"/>
        </w:rPr>
        <w:t>比选公告</w:t>
      </w:r>
      <w:bookmarkEnd w:id="0"/>
      <w:bookmarkEnd w:id="1"/>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2"/>
          <w:u w:val="single"/>
          <w:lang w:eastAsia="zh-CN"/>
        </w:rPr>
        <w:t>深铁璟城</w:t>
      </w:r>
      <w:r>
        <w:rPr>
          <w:rFonts w:hint="eastAsia" w:hAnsi="宋体"/>
          <w:b/>
          <w:bCs/>
          <w:sz w:val="24"/>
          <w:szCs w:val="22"/>
          <w:u w:val="single"/>
        </w:rPr>
        <w:t>项目广告策划及推广服务</w:t>
      </w:r>
      <w:r>
        <w:rPr>
          <w:rFonts w:hint="eastAsia" w:hAnsi="宋体"/>
          <w:b/>
          <w:sz w:val="24"/>
          <w:szCs w:val="24"/>
        </w:rPr>
        <w:t>（以下</w:t>
      </w:r>
      <w:r>
        <w:rPr>
          <w:rFonts w:hAnsi="宋体"/>
          <w:b/>
          <w:sz w:val="24"/>
          <w:szCs w:val="24"/>
        </w:rPr>
        <w:t>简称“本项目”）</w:t>
      </w:r>
      <w:r>
        <w:rPr>
          <w:rFonts w:hint="eastAsia" w:hAnsi="宋体"/>
          <w:sz w:val="24"/>
          <w:szCs w:val="24"/>
        </w:rPr>
        <w:t>进行公开</w:t>
      </w:r>
      <w:r>
        <w:rPr>
          <w:rFonts w:hint="eastAsia" w:hAnsi="宋体"/>
          <w:sz w:val="24"/>
        </w:rPr>
        <w:t>比选</w:t>
      </w:r>
      <w:r>
        <w:rPr>
          <w:rFonts w:hint="eastAsia" w:hAnsi="宋体"/>
          <w:sz w:val="24"/>
          <w:szCs w:val="24"/>
        </w:rPr>
        <w:t>，欢迎符合本</w:t>
      </w:r>
      <w:r>
        <w:rPr>
          <w:rFonts w:hint="eastAsia" w:hAnsi="宋体"/>
          <w:sz w:val="24"/>
        </w:rPr>
        <w:t>比选</w:t>
      </w:r>
      <w:r>
        <w:rPr>
          <w:rFonts w:hint="eastAsia" w:hAnsi="宋体"/>
          <w:sz w:val="24"/>
          <w:szCs w:val="24"/>
        </w:rPr>
        <w:t>公告公布资质要求的公司参加参选。</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0" w:firstLineChars="200"/>
        <w:rPr>
          <w:rFonts w:hAnsi="宋体"/>
          <w:bCs/>
          <w:sz w:val="24"/>
          <w:szCs w:val="22"/>
          <w:u w:val="single"/>
        </w:rPr>
      </w:pPr>
      <w:r>
        <w:rPr>
          <w:rFonts w:hint="eastAsia" w:hAnsi="宋体"/>
          <w:bCs/>
          <w:sz w:val="24"/>
          <w:szCs w:val="22"/>
          <w:u w:val="single"/>
          <w:lang w:eastAsia="zh-CN"/>
        </w:rPr>
        <w:t>深铁璟城</w:t>
      </w:r>
      <w:r>
        <w:rPr>
          <w:rFonts w:hint="eastAsia" w:hAnsi="宋体"/>
          <w:bCs/>
          <w:sz w:val="24"/>
          <w:szCs w:val="22"/>
          <w:u w:val="single"/>
        </w:rPr>
        <w:t>项目广告策划及推广服务</w:t>
      </w:r>
    </w:p>
    <w:p>
      <w:pPr>
        <w:pStyle w:val="4"/>
        <w:numPr>
          <w:ilvl w:val="0"/>
          <w:numId w:val="1"/>
        </w:numPr>
        <w:spacing w:line="360" w:lineRule="auto"/>
        <w:ind w:firstLine="482" w:firstLineChars="200"/>
        <w:rPr>
          <w:rFonts w:hint="eastAsia" w:hAnsi="宋体"/>
          <w:b/>
          <w:sz w:val="24"/>
          <w:szCs w:val="24"/>
          <w:lang w:eastAsia="zh-CN"/>
        </w:rPr>
      </w:pPr>
      <w:r>
        <w:rPr>
          <w:rFonts w:hint="eastAsia" w:hAnsi="宋体"/>
          <w:b/>
          <w:sz w:val="24"/>
          <w:szCs w:val="24"/>
          <w:lang w:eastAsia="zh-CN"/>
        </w:rPr>
        <w:t>项目概况</w:t>
      </w:r>
    </w:p>
    <w:p>
      <w:pPr>
        <w:pStyle w:val="4"/>
        <w:spacing w:line="360" w:lineRule="auto"/>
        <w:ind w:firstLine="480" w:firstLineChars="200"/>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深铁璟城位于深圳市宝安区松岗片区地铁11号线碧头站，松福大道以北，朗碧路以西，西北面为东宝河。项目居住用地面积约39.28万㎡，建筑面积约75.14万㎡；商品住宅约18.75万㎡，其中盖上住宅约12.12万㎡，白地住宅约6.63万㎡；商业约6.29万㎡。</w:t>
      </w:r>
    </w:p>
    <w:p>
      <w:pPr>
        <w:pStyle w:val="4"/>
        <w:spacing w:line="360" w:lineRule="auto"/>
        <w:ind w:firstLine="482" w:firstLineChars="200"/>
        <w:rPr>
          <w:rFonts w:hAnsi="宋体"/>
          <w:b/>
          <w:sz w:val="24"/>
          <w:szCs w:val="24"/>
        </w:rPr>
      </w:pPr>
      <w:r>
        <w:rPr>
          <w:rFonts w:hint="eastAsia" w:hAnsi="宋体"/>
          <w:b/>
          <w:sz w:val="24"/>
          <w:szCs w:val="24"/>
          <w:lang w:eastAsia="zh-CN"/>
        </w:rPr>
        <w:t>三</w:t>
      </w:r>
      <w:r>
        <w:rPr>
          <w:rFonts w:hint="eastAsia" w:hAnsi="宋体"/>
          <w:b/>
          <w:sz w:val="24"/>
          <w:szCs w:val="24"/>
        </w:rPr>
        <w:t>、比选内容</w:t>
      </w:r>
    </w:p>
    <w:p>
      <w:pPr>
        <w:pStyle w:val="4"/>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本项目为</w:t>
      </w:r>
      <w:r>
        <w:rPr>
          <w:rFonts w:hint="eastAsia" w:asciiTheme="minorEastAsia" w:hAnsiTheme="minorEastAsia" w:eastAsiaTheme="minorEastAsia"/>
          <w:sz w:val="24"/>
          <w:szCs w:val="24"/>
          <w:lang w:eastAsia="zh-CN"/>
        </w:rPr>
        <w:t>深铁璟城</w:t>
      </w:r>
      <w:r>
        <w:rPr>
          <w:rFonts w:hint="eastAsia" w:asciiTheme="minorEastAsia" w:hAnsiTheme="minorEastAsia" w:eastAsiaTheme="minorEastAsia"/>
          <w:sz w:val="24"/>
          <w:szCs w:val="24"/>
        </w:rPr>
        <w:t>项目广告策划及推广服务项目，</w:t>
      </w:r>
      <w:r>
        <w:rPr>
          <w:rFonts w:hint="eastAsia" w:asciiTheme="minorEastAsia" w:hAnsiTheme="minorEastAsia" w:eastAsiaTheme="minorEastAsia"/>
          <w:color w:val="0D0D0D"/>
          <w:sz w:val="24"/>
          <w:szCs w:val="32"/>
        </w:rPr>
        <w:t xml:space="preserve">具体内容包括但不限于： </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（一）广告传播服务</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1.广告策略及创意类内容</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（1）项目价值梳理及概念包装；</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2</w:t>
      </w:r>
      <w:r>
        <w:rPr>
          <w:rFonts w:hint="eastAsia" w:asciiTheme="minorEastAsia" w:hAnsiTheme="minorEastAsia" w:eastAsiaTheme="minorEastAsia"/>
          <w:color w:val="0D0D0D"/>
          <w:kern w:val="2"/>
          <w:sz w:val="24"/>
          <w:szCs w:val="32"/>
        </w:rPr>
        <w:t>）项目推广策略（包括推广渠道及传播策略、营销活动策略、事件营销策略、企业品牌宣传策略等）；</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3</w:t>
      </w:r>
      <w:r>
        <w:rPr>
          <w:rFonts w:hint="eastAsia" w:asciiTheme="minorEastAsia" w:hAnsiTheme="minorEastAsia" w:eastAsiaTheme="minorEastAsia"/>
          <w:color w:val="0D0D0D"/>
          <w:kern w:val="2"/>
          <w:sz w:val="24"/>
          <w:szCs w:val="32"/>
        </w:rPr>
        <w:t>）小视频、微电影、网站创意及其文案创作、软文撰写；</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4</w:t>
      </w:r>
      <w:r>
        <w:rPr>
          <w:rFonts w:hint="eastAsia" w:asciiTheme="minorEastAsia" w:hAnsiTheme="minorEastAsia" w:eastAsiaTheme="minorEastAsia"/>
          <w:color w:val="0D0D0D"/>
          <w:kern w:val="2"/>
          <w:sz w:val="24"/>
          <w:szCs w:val="32"/>
        </w:rPr>
        <w:t>）项目全程跟进服务；</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5</w:t>
      </w:r>
      <w:r>
        <w:rPr>
          <w:rFonts w:hint="eastAsia" w:asciiTheme="minorEastAsia" w:hAnsiTheme="minorEastAsia" w:eastAsiaTheme="minorEastAsia"/>
          <w:color w:val="0D0D0D"/>
          <w:kern w:val="2"/>
          <w:sz w:val="24"/>
          <w:szCs w:val="32"/>
        </w:rPr>
        <w:t>）提供必要的咨询与顾问服务；</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6</w:t>
      </w:r>
      <w:r>
        <w:rPr>
          <w:rFonts w:hint="eastAsia" w:asciiTheme="minorEastAsia" w:hAnsiTheme="minorEastAsia" w:eastAsiaTheme="minorEastAsia"/>
          <w:color w:val="0D0D0D"/>
          <w:kern w:val="2"/>
          <w:sz w:val="24"/>
          <w:szCs w:val="32"/>
        </w:rPr>
        <w:t>）其需按甲方需求配合制定的策略及创意构思等。</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2.广告设计及文案创作类内容</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（1）项目案名、LOGO及VI（视觉形象识别）及应用系统的建立与实施方案；</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2</w:t>
      </w:r>
      <w:r>
        <w:rPr>
          <w:rFonts w:hint="eastAsia" w:asciiTheme="minorEastAsia" w:hAnsiTheme="minorEastAsia" w:eastAsiaTheme="minorEastAsia"/>
          <w:color w:val="0D0D0D"/>
          <w:kern w:val="2"/>
          <w:sz w:val="24"/>
          <w:szCs w:val="32"/>
        </w:rPr>
        <w:t>）宣传物料类：包括但不限于户型图、折页、楼书、价值展板、海报（含线上海报）、企业宣传物料等的设计及文案创作工作；</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3</w:t>
      </w:r>
      <w:r>
        <w:rPr>
          <w:rFonts w:hint="eastAsia" w:asciiTheme="minorEastAsia" w:hAnsiTheme="minorEastAsia" w:eastAsiaTheme="minorEastAsia"/>
          <w:color w:val="0D0D0D"/>
          <w:kern w:val="2"/>
          <w:sz w:val="24"/>
          <w:szCs w:val="32"/>
        </w:rPr>
        <w:t>）推广渠道类设计工作：指定的推广渠道所涉及的所有平面设计、短视频剪辑、文案创作等工作。</w:t>
      </w:r>
      <w:r>
        <w:rPr>
          <w:rFonts w:hint="eastAsia" w:asciiTheme="minorEastAsia" w:hAnsiTheme="minorEastAsia" w:eastAsiaTheme="minorEastAsia"/>
          <w:color w:val="0D0D0D"/>
          <w:kern w:val="2"/>
          <w:sz w:val="24"/>
          <w:szCs w:val="32"/>
        </w:rPr>
        <w:tab/>
      </w:r>
      <w:r>
        <w:rPr>
          <w:rFonts w:hint="eastAsia" w:asciiTheme="minorEastAsia" w:hAnsiTheme="minorEastAsia" w:eastAsiaTheme="minorEastAsia"/>
          <w:color w:val="0D0D0D"/>
          <w:kern w:val="2"/>
          <w:sz w:val="24"/>
          <w:szCs w:val="32"/>
        </w:rPr>
        <w:t>其中文案创作包括但不限于专题软文（项目及企业利好信息、自身价值输出、品牌价值输出等）及各类活动通稿、新闻通稿的构思、文案撰写、文章推送等工作；</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4</w:t>
      </w:r>
      <w:r>
        <w:rPr>
          <w:rFonts w:hint="eastAsia" w:asciiTheme="minorEastAsia" w:hAnsiTheme="minorEastAsia" w:eastAsiaTheme="minorEastAsia"/>
          <w:color w:val="0D0D0D"/>
          <w:kern w:val="2"/>
          <w:sz w:val="24"/>
          <w:szCs w:val="32"/>
        </w:rPr>
        <w:t>）销售工具类设计工作：包括但不限于纸杯、纸袋、信封、销售文件、企业宣传物料等的设计及文案创作工作；</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5</w:t>
      </w:r>
      <w:r>
        <w:rPr>
          <w:rFonts w:hint="eastAsia" w:asciiTheme="minorEastAsia" w:hAnsiTheme="minorEastAsia" w:eastAsiaTheme="minorEastAsia"/>
          <w:color w:val="0D0D0D"/>
          <w:kern w:val="2"/>
          <w:sz w:val="24"/>
          <w:szCs w:val="32"/>
        </w:rPr>
        <w:t>）项目包装类设计工作：包括但不限于围墙、看楼通道、工法展示、品牌墙展示、项目导视系统（精神堡垒、户型水牌、导视牌、温馨提示等）、企业宣传相关包装的设计及文案创作工作；</w:t>
      </w:r>
    </w:p>
    <w:p>
      <w:pPr>
        <w:pStyle w:val="4"/>
        <w:spacing w:line="360" w:lineRule="auto"/>
        <w:ind w:firstLine="480" w:firstLineChars="200"/>
        <w:rPr>
          <w:rFonts w:asciiTheme="minorEastAsia" w:hAnsiTheme="minorEastAsia" w:eastAsiaTheme="minorEastAsia"/>
          <w:color w:val="0D0D0D"/>
          <w:kern w:val="2"/>
          <w:sz w:val="24"/>
          <w:szCs w:val="32"/>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6</w:t>
      </w:r>
      <w:r>
        <w:rPr>
          <w:rFonts w:hint="eastAsia" w:asciiTheme="minorEastAsia" w:hAnsiTheme="minorEastAsia" w:eastAsiaTheme="minorEastAsia"/>
          <w:color w:val="0D0D0D"/>
          <w:kern w:val="2"/>
          <w:sz w:val="24"/>
          <w:szCs w:val="32"/>
        </w:rPr>
        <w:t>）活动相关类设计工作：包括但不限于巡展、各类营销活动及企业宣传类活动的主题创意、线下制作物料、线上宣传物料等的设计及文案创作工作；</w:t>
      </w:r>
    </w:p>
    <w:p>
      <w:pPr>
        <w:pStyle w:val="4"/>
        <w:spacing w:line="360" w:lineRule="auto"/>
        <w:ind w:firstLine="480" w:firstLineChars="200"/>
        <w:rPr>
          <w:rFonts w:hint="eastAsia" w:asciiTheme="minorEastAsia" w:hAnsiTheme="minorEastAsia" w:eastAsiaTheme="minorEastAsia"/>
          <w:color w:val="0D0D0D"/>
          <w:kern w:val="2"/>
          <w:sz w:val="24"/>
          <w:szCs w:val="32"/>
          <w:lang w:eastAsia="zh-CN"/>
        </w:rPr>
      </w:pPr>
      <w:r>
        <w:rPr>
          <w:rFonts w:hint="eastAsia" w:asciiTheme="minorEastAsia" w:hAnsiTheme="minorEastAsia" w:eastAsiaTheme="minorEastAsia"/>
          <w:color w:val="0D0D0D"/>
          <w:kern w:val="2"/>
          <w:sz w:val="24"/>
          <w:szCs w:val="32"/>
        </w:rPr>
        <w:t>（</w:t>
      </w:r>
      <w:r>
        <w:rPr>
          <w:rFonts w:asciiTheme="minorEastAsia" w:hAnsiTheme="minorEastAsia" w:eastAsiaTheme="minorEastAsia"/>
          <w:color w:val="0D0D0D"/>
          <w:kern w:val="2"/>
          <w:sz w:val="24"/>
          <w:szCs w:val="32"/>
        </w:rPr>
        <w:t>7</w:t>
      </w:r>
      <w:r>
        <w:rPr>
          <w:rFonts w:hint="eastAsia" w:asciiTheme="minorEastAsia" w:hAnsiTheme="minorEastAsia" w:eastAsiaTheme="minorEastAsia"/>
          <w:color w:val="0D0D0D"/>
          <w:kern w:val="2"/>
          <w:sz w:val="24"/>
          <w:szCs w:val="32"/>
        </w:rPr>
        <w:t>）其他类设计工作:包括但不限于配合企业品牌工作的相关设计及文案创作工作</w:t>
      </w:r>
      <w:r>
        <w:rPr>
          <w:rFonts w:hint="eastAsia" w:asciiTheme="minorEastAsia" w:hAnsiTheme="minorEastAsia" w:eastAsiaTheme="minorEastAsia"/>
          <w:color w:val="0D0D0D"/>
          <w:kern w:val="2"/>
          <w:sz w:val="24"/>
          <w:szCs w:val="32"/>
          <w:lang w:eastAsia="zh-CN"/>
        </w:rPr>
        <w:t>。</w:t>
      </w:r>
    </w:p>
    <w:p>
      <w:pPr>
        <w:pStyle w:val="4"/>
        <w:spacing w:line="360" w:lineRule="auto"/>
        <w:ind w:firstLine="480" w:firstLineChars="200"/>
        <w:rPr>
          <w:rFonts w:hint="default" w:asciiTheme="minorEastAsia" w:hAnsiTheme="minorEastAsia" w:eastAsiaTheme="minorEastAsia"/>
          <w:color w:val="0D0D0D"/>
          <w:kern w:val="2"/>
          <w:sz w:val="24"/>
          <w:szCs w:val="32"/>
          <w:lang w:val="en-US" w:eastAsia="zh-CN"/>
        </w:rPr>
      </w:pPr>
      <w:r>
        <w:rPr>
          <w:rFonts w:hint="eastAsia" w:asciiTheme="minorEastAsia" w:hAnsiTheme="minorEastAsia" w:eastAsiaTheme="minorEastAsia"/>
          <w:color w:val="0D0D0D"/>
          <w:kern w:val="2"/>
          <w:sz w:val="24"/>
          <w:szCs w:val="32"/>
          <w:lang w:val="en-US" w:eastAsia="zh-CN"/>
        </w:rPr>
        <w:t>3.其它</w:t>
      </w:r>
    </w:p>
    <w:p>
      <w:pPr>
        <w:pStyle w:val="4"/>
        <w:spacing w:line="360" w:lineRule="auto"/>
        <w:ind w:firstLine="480" w:firstLineChars="200"/>
        <w:rPr>
          <w:rFonts w:hint="eastAsia" w:asciiTheme="minorEastAsia" w:hAnsiTheme="minorEastAsia" w:eastAsiaTheme="minorEastAsia"/>
          <w:color w:val="0D0D0D"/>
          <w:kern w:val="2"/>
          <w:sz w:val="24"/>
          <w:szCs w:val="32"/>
          <w:lang w:eastAsia="zh-CN"/>
        </w:rPr>
      </w:pPr>
      <w:r>
        <w:rPr>
          <w:rFonts w:hint="eastAsia" w:asciiTheme="minorEastAsia" w:hAnsiTheme="minorEastAsia" w:eastAsiaTheme="minorEastAsia"/>
          <w:color w:val="0D0D0D"/>
          <w:kern w:val="2"/>
          <w:sz w:val="24"/>
          <w:szCs w:val="32"/>
          <w:lang w:eastAsia="zh-CN"/>
        </w:rPr>
        <w:t>（</w:t>
      </w:r>
      <w:r>
        <w:rPr>
          <w:rFonts w:hint="eastAsia" w:asciiTheme="minorEastAsia" w:hAnsiTheme="minorEastAsia" w:eastAsiaTheme="minorEastAsia"/>
          <w:color w:val="0D0D0D"/>
          <w:kern w:val="2"/>
          <w:sz w:val="24"/>
          <w:szCs w:val="32"/>
          <w:lang w:val="en-US" w:eastAsia="zh-CN"/>
        </w:rPr>
        <w:t>1</w:t>
      </w:r>
      <w:r>
        <w:rPr>
          <w:rFonts w:hint="eastAsia" w:asciiTheme="minorEastAsia" w:hAnsiTheme="minorEastAsia" w:eastAsiaTheme="minorEastAsia"/>
          <w:color w:val="0D0D0D"/>
          <w:kern w:val="2"/>
          <w:sz w:val="24"/>
          <w:szCs w:val="32"/>
          <w:lang w:eastAsia="zh-CN"/>
        </w:rPr>
        <w:t>）</w:t>
      </w:r>
      <w:r>
        <w:rPr>
          <w:rFonts w:hint="eastAsia" w:asciiTheme="minorEastAsia" w:hAnsiTheme="minorEastAsia" w:eastAsiaTheme="minorEastAsia"/>
          <w:color w:val="0D0D0D"/>
          <w:kern w:val="2"/>
          <w:sz w:val="24"/>
          <w:szCs w:val="32"/>
        </w:rPr>
        <w:t>网络舆情监控及公关：包括但不限于项目及企业相关舆情的监控及处理建议</w:t>
      </w:r>
      <w:r>
        <w:rPr>
          <w:rFonts w:hint="eastAsia" w:asciiTheme="minorEastAsia" w:hAnsiTheme="minorEastAsia" w:eastAsiaTheme="minorEastAsia"/>
          <w:color w:val="0D0D0D"/>
          <w:kern w:val="2"/>
          <w:sz w:val="24"/>
          <w:szCs w:val="32"/>
          <w:lang w:eastAsia="zh-CN"/>
        </w:rPr>
        <w:t>；</w:t>
      </w:r>
    </w:p>
    <w:p>
      <w:pPr>
        <w:pStyle w:val="4"/>
        <w:spacing w:line="360" w:lineRule="auto"/>
        <w:ind w:firstLine="480" w:firstLineChars="200"/>
        <w:rPr>
          <w:rFonts w:hint="eastAsia" w:asciiTheme="minorEastAsia" w:hAnsiTheme="minorEastAsia" w:eastAsiaTheme="minorEastAsia"/>
          <w:color w:val="0D0D0D"/>
          <w:kern w:val="2"/>
          <w:sz w:val="24"/>
          <w:szCs w:val="32"/>
          <w:lang w:eastAsia="zh-CN"/>
        </w:rPr>
      </w:pPr>
      <w:r>
        <w:rPr>
          <w:rFonts w:hint="eastAsia" w:asciiTheme="minorEastAsia" w:hAnsiTheme="minorEastAsia" w:eastAsiaTheme="minorEastAsia"/>
          <w:color w:val="0D0D0D"/>
          <w:kern w:val="2"/>
          <w:sz w:val="24"/>
          <w:szCs w:val="32"/>
          <w:lang w:eastAsia="zh-CN"/>
        </w:rPr>
        <w:t>（</w:t>
      </w:r>
      <w:r>
        <w:rPr>
          <w:rFonts w:hint="eastAsia" w:asciiTheme="minorEastAsia" w:hAnsiTheme="minorEastAsia" w:eastAsiaTheme="minorEastAsia"/>
          <w:color w:val="0D0D0D"/>
          <w:kern w:val="2"/>
          <w:sz w:val="24"/>
          <w:szCs w:val="32"/>
          <w:lang w:val="en-US" w:eastAsia="zh-CN"/>
        </w:rPr>
        <w:t>2</w:t>
      </w:r>
      <w:r>
        <w:rPr>
          <w:rFonts w:hint="eastAsia" w:asciiTheme="minorEastAsia" w:hAnsiTheme="minorEastAsia" w:eastAsiaTheme="minorEastAsia"/>
          <w:color w:val="0D0D0D"/>
          <w:kern w:val="2"/>
          <w:sz w:val="24"/>
          <w:szCs w:val="32"/>
          <w:lang w:eastAsia="zh-CN"/>
        </w:rPr>
        <w:t>）</w:t>
      </w:r>
      <w:r>
        <w:rPr>
          <w:rFonts w:hint="eastAsia" w:asciiTheme="minorEastAsia" w:hAnsiTheme="minorEastAsia" w:eastAsiaTheme="minorEastAsia"/>
          <w:color w:val="0D0D0D"/>
          <w:kern w:val="2"/>
          <w:sz w:val="24"/>
          <w:szCs w:val="32"/>
        </w:rPr>
        <w:t>例行周报、月报、上年度总结报告、下年度总体策略报告等</w:t>
      </w:r>
      <w:r>
        <w:rPr>
          <w:rFonts w:hint="eastAsia" w:asciiTheme="minorEastAsia" w:hAnsiTheme="minorEastAsia" w:eastAsiaTheme="minorEastAsia"/>
          <w:color w:val="0D0D0D"/>
          <w:kern w:val="2"/>
          <w:sz w:val="24"/>
          <w:szCs w:val="32"/>
          <w:lang w:eastAsia="zh-CN"/>
        </w:rPr>
        <w:t>。</w:t>
      </w:r>
    </w:p>
    <w:p>
      <w:pPr>
        <w:pStyle w:val="4"/>
        <w:spacing w:line="360" w:lineRule="auto"/>
        <w:ind w:firstLine="482" w:firstLineChars="200"/>
        <w:rPr>
          <w:rFonts w:hAnsi="宋体"/>
          <w:b/>
          <w:sz w:val="24"/>
          <w:szCs w:val="24"/>
        </w:rPr>
      </w:pPr>
      <w:r>
        <w:rPr>
          <w:rFonts w:hint="eastAsia" w:hAnsi="宋体"/>
          <w:b/>
          <w:sz w:val="24"/>
          <w:szCs w:val="24"/>
          <w:lang w:eastAsia="zh-CN"/>
        </w:rPr>
        <w:t>四</w:t>
      </w:r>
      <w:r>
        <w:rPr>
          <w:rFonts w:hint="eastAsia" w:hAnsi="宋体"/>
          <w:b/>
          <w:sz w:val="24"/>
          <w:szCs w:val="24"/>
        </w:rPr>
        <w:t>、比选控制价格</w:t>
      </w:r>
    </w:p>
    <w:p>
      <w:pPr>
        <w:spacing w:line="360" w:lineRule="auto"/>
        <w:ind w:right="-296" w:rightChars="-141" w:firstLine="480" w:firstLineChars="200"/>
        <w:rPr>
          <w:rFonts w:ascii="宋体" w:hAnsi="宋体"/>
          <w:sz w:val="24"/>
          <w:szCs w:val="24"/>
        </w:rPr>
      </w:pPr>
      <w:r>
        <w:rPr>
          <w:rFonts w:hint="eastAsia" w:ascii="宋体" w:hAnsi="宋体"/>
          <w:sz w:val="24"/>
          <w:szCs w:val="24"/>
        </w:rPr>
        <w:t>本次参选</w:t>
      </w:r>
      <w:r>
        <w:rPr>
          <w:rFonts w:ascii="宋体" w:hAnsi="宋体"/>
          <w:sz w:val="24"/>
          <w:szCs w:val="24"/>
        </w:rPr>
        <w:t>报价</w:t>
      </w:r>
      <w:r>
        <w:rPr>
          <w:rFonts w:hint="eastAsia" w:ascii="宋体" w:hAnsi="宋体"/>
          <w:sz w:val="24"/>
          <w:szCs w:val="24"/>
        </w:rPr>
        <w:t>深铁璟城项目广告策划及推广服务</w:t>
      </w:r>
      <w:r>
        <w:rPr>
          <w:rFonts w:ascii="宋体" w:hAnsi="宋体"/>
          <w:sz w:val="24"/>
          <w:szCs w:val="24"/>
        </w:rPr>
        <w:t>费的</w:t>
      </w:r>
      <w:r>
        <w:rPr>
          <w:rFonts w:hint="eastAsia" w:ascii="宋体" w:hAnsi="宋体"/>
          <w:sz w:val="24"/>
          <w:szCs w:val="24"/>
        </w:rPr>
        <w:t>月费</w:t>
      </w:r>
      <w:r>
        <w:rPr>
          <w:rFonts w:ascii="宋体" w:hAnsi="宋体"/>
          <w:sz w:val="24"/>
          <w:szCs w:val="24"/>
        </w:rPr>
        <w:t>上限设为1</w:t>
      </w:r>
      <w:r>
        <w:rPr>
          <w:rFonts w:hint="eastAsia" w:ascii="宋体" w:hAnsi="宋体"/>
          <w:sz w:val="24"/>
          <w:szCs w:val="24"/>
        </w:rPr>
        <w:t>0万元/月（含税</w:t>
      </w:r>
      <w:r>
        <w:rPr>
          <w:rFonts w:ascii="宋体" w:hAnsi="宋体"/>
          <w:sz w:val="24"/>
          <w:szCs w:val="24"/>
        </w:rPr>
        <w:t>）</w:t>
      </w:r>
      <w:r>
        <w:rPr>
          <w:rFonts w:hint="eastAsia" w:ascii="宋体" w:hAnsi="宋体"/>
          <w:sz w:val="24"/>
          <w:szCs w:val="24"/>
        </w:rPr>
        <w:t>，1</w:t>
      </w:r>
      <w:r>
        <w:rPr>
          <w:rFonts w:ascii="宋体" w:hAnsi="宋体"/>
          <w:sz w:val="24"/>
          <w:szCs w:val="24"/>
        </w:rPr>
        <w:t>8</w:t>
      </w:r>
      <w:r>
        <w:rPr>
          <w:rFonts w:hint="eastAsia" w:ascii="宋体" w:hAnsi="宋体"/>
          <w:sz w:val="24"/>
          <w:szCs w:val="24"/>
        </w:rPr>
        <w:t>个月服务费总额控制在</w:t>
      </w:r>
      <w:r>
        <w:rPr>
          <w:rFonts w:ascii="宋体" w:hAnsi="宋体"/>
          <w:sz w:val="24"/>
          <w:szCs w:val="24"/>
        </w:rPr>
        <w:t>1</w:t>
      </w:r>
      <w:r>
        <w:rPr>
          <w:rFonts w:hint="eastAsia" w:ascii="宋体" w:hAnsi="宋体"/>
          <w:sz w:val="24"/>
          <w:szCs w:val="24"/>
        </w:rPr>
        <w:t>80万元内（含税）。本项目比选</w:t>
      </w:r>
      <w:r>
        <w:rPr>
          <w:rFonts w:ascii="宋体" w:hAnsi="宋体"/>
          <w:sz w:val="24"/>
          <w:szCs w:val="24"/>
        </w:rPr>
        <w:t>控制价格</w:t>
      </w:r>
      <w:r>
        <w:rPr>
          <w:rFonts w:hint="eastAsia" w:ascii="宋体" w:hAnsi="宋体"/>
          <w:sz w:val="24"/>
          <w:szCs w:val="24"/>
        </w:rPr>
        <w:t>上限价为180万元（含税）。</w:t>
      </w:r>
    </w:p>
    <w:p>
      <w:pPr>
        <w:pStyle w:val="4"/>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w:t>
      </w:r>
      <w:r>
        <w:rPr>
          <w:rFonts w:hint="eastAsia" w:hAnsi="宋体"/>
          <w:b/>
          <w:color w:val="0D0D0D" w:themeColor="text1" w:themeTint="F2"/>
          <w:sz w:val="24"/>
          <w:szCs w:val="24"/>
          <w14:textFill>
            <w14:solidFill>
              <w14:schemeClr w14:val="tx1">
                <w14:lumMod w14:val="95000"/>
                <w14:lumOff w14:val="5000"/>
              </w14:schemeClr>
            </w14:solidFill>
          </w14:textFill>
        </w:rPr>
        <w:t>参选人资格要求</w:t>
      </w:r>
    </w:p>
    <w:p>
      <w:pPr>
        <w:spacing w:line="360" w:lineRule="auto"/>
        <w:ind w:firstLine="480" w:firstLineChars="200"/>
        <w:jc w:val="left"/>
        <w:rPr>
          <w:rFonts w:ascii="宋体" w:hAnsi="宋体"/>
          <w:kern w:val="0"/>
          <w:sz w:val="24"/>
          <w:szCs w:val="24"/>
        </w:rPr>
      </w:pPr>
      <w:bookmarkStart w:id="2" w:name="baidusnap1"/>
      <w:bookmarkEnd w:id="2"/>
      <w:bookmarkStart w:id="3" w:name="baidusnap0"/>
      <w:bookmarkEnd w:id="3"/>
      <w:bookmarkStart w:id="4" w:name="baidusnap7"/>
      <w:bookmarkEnd w:id="4"/>
      <w:bookmarkStart w:id="5" w:name="baidusnap4"/>
      <w:bookmarkEnd w:id="5"/>
      <w:r>
        <w:rPr>
          <w:rFonts w:hint="eastAsia" w:ascii="宋体" w:hAnsi="宋体"/>
          <w:kern w:val="0"/>
          <w:sz w:val="24"/>
          <w:szCs w:val="24"/>
        </w:rPr>
        <w:t>（一）成立时间：公司在深圳注册且成立时间在2018年1月1日之前（含本日）。</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（二）公司业绩：</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2017年1月1日至今，至少操作过5个全国50强或深圳20强房地产开发公司在北京、上海、广州、深圳的商品房项目或品牌的广告策划及推广服务业绩（全国50强排名参考2017-2020年中指研究院或易居克而瑞数据，深圳20强排名参考2017-2020年深圳房协数据）。</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备注：需按要求提供相关证明材料扫描复印件，如合同关键页（名称、期限、签订日期等）等文件，并加盖公章。</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hint="eastAsia" w:ascii="宋体" w:hAnsi="宋体"/>
          <w:kern w:val="0"/>
          <w:sz w:val="24"/>
          <w:szCs w:val="24"/>
          <w:lang w:eastAsia="zh-CN"/>
        </w:rPr>
        <w:t>三</w:t>
      </w:r>
      <w:r>
        <w:rPr>
          <w:rFonts w:hint="eastAsia" w:ascii="宋体" w:hAnsi="宋体"/>
          <w:kern w:val="0"/>
          <w:sz w:val="24"/>
          <w:szCs w:val="24"/>
        </w:rPr>
        <w:t>）其它要求：不接受以联合体形式参选。</w:t>
      </w:r>
    </w:p>
    <w:p>
      <w:pPr>
        <w:spacing w:line="360" w:lineRule="auto"/>
        <w:ind w:firstLine="480" w:firstLineChars="200"/>
        <w:jc w:val="left"/>
        <w:rPr>
          <w:rFonts w:ascii="宋体" w:hAnsi="宋体"/>
          <w:kern w:val="0"/>
          <w:sz w:val="24"/>
          <w:szCs w:val="24"/>
        </w:rPr>
      </w:pPr>
      <w:r>
        <w:rPr>
          <w:rFonts w:hint="eastAsia" w:ascii="宋体" w:hAnsi="宋体"/>
          <w:kern w:val="0"/>
          <w:sz w:val="24"/>
          <w:szCs w:val="24"/>
        </w:rPr>
        <w:t>（</w:t>
      </w:r>
      <w:r>
        <w:rPr>
          <w:rFonts w:hint="eastAsia" w:ascii="宋体" w:hAnsi="宋体"/>
          <w:kern w:val="0"/>
          <w:sz w:val="24"/>
          <w:szCs w:val="24"/>
          <w:lang w:eastAsia="zh-CN"/>
        </w:rPr>
        <w:t>四</w:t>
      </w:r>
      <w:r>
        <w:rPr>
          <w:rFonts w:hint="eastAsia" w:ascii="宋体" w:hAnsi="宋体"/>
          <w:kern w:val="0"/>
          <w:sz w:val="24"/>
          <w:szCs w:val="24"/>
        </w:rPr>
        <w:t>）2017年1月1日以来，有串通参选不良行为记录或涉嫌串通参选，并正在接受城市主管部门调查的参选申请人不得参选。</w:t>
      </w:r>
    </w:p>
    <w:p>
      <w:pPr>
        <w:suppressAutoHyphens/>
        <w:topLinePunct/>
        <w:snapToGrid w:val="0"/>
        <w:spacing w:line="360" w:lineRule="auto"/>
        <w:ind w:firstLine="547" w:firstLineChars="227"/>
        <w:contextualSpacing/>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9"/>
        <w:tblW w:w="90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11"/>
        <w:gridCol w:w="1708"/>
        <w:gridCol w:w="2288"/>
        <w:gridCol w:w="43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9" w:hRule="atLeast"/>
          <w:jc w:val="center"/>
        </w:trPr>
        <w:tc>
          <w:tcPr>
            <w:tcW w:w="71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序号</w:t>
            </w:r>
          </w:p>
        </w:tc>
        <w:tc>
          <w:tcPr>
            <w:tcW w:w="1708"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内  容</w:t>
            </w:r>
          </w:p>
        </w:tc>
        <w:tc>
          <w:tcPr>
            <w:tcW w:w="2288"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时间安排</w:t>
            </w:r>
          </w:p>
        </w:tc>
        <w:tc>
          <w:tcPr>
            <w:tcW w:w="437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0"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1</w:t>
            </w:r>
          </w:p>
        </w:tc>
        <w:tc>
          <w:tcPr>
            <w:tcW w:w="170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发布比选公告</w:t>
            </w:r>
          </w:p>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（发标）</w:t>
            </w:r>
          </w:p>
        </w:tc>
        <w:tc>
          <w:tcPr>
            <w:tcW w:w="2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cs="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cs="宋体"/>
                <w:bCs/>
                <w:color w:val="0D0D0D" w:themeColor="text1" w:themeTint="F2"/>
                <w:sz w:val="18"/>
                <w:szCs w:val="18"/>
                <w:lang w:val="en-US" w:eastAsia="zh-CN"/>
                <w14:textFill>
                  <w14:solidFill>
                    <w14:schemeClr w14:val="tx1">
                      <w14:lumMod w14:val="95000"/>
                      <w14:lumOff w14:val="5000"/>
                    </w14:schemeClr>
                  </w14:solidFill>
                </w14:textFill>
              </w:rPr>
              <w:t>12</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日</w:t>
            </w:r>
          </w:p>
        </w:tc>
        <w:tc>
          <w:tcPr>
            <w:tcW w:w="437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428" w:leftChars="44" w:hanging="336" w:hangingChars="187"/>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深圳市地铁集团有限公司外网、国资委阳光采购平台、深铁置业微信订阅号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5"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2</w:t>
            </w:r>
          </w:p>
        </w:tc>
        <w:tc>
          <w:tcPr>
            <w:tcW w:w="170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截标</w:t>
            </w:r>
          </w:p>
        </w:tc>
        <w:tc>
          <w:tcPr>
            <w:tcW w:w="2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cs="宋体"/>
                <w:bCs/>
                <w:color w:val="0D0D0D" w:themeColor="text1" w:themeTint="F2"/>
                <w:sz w:val="18"/>
                <w:szCs w:val="18"/>
                <w:lang w:val="en-US" w:eastAsia="zh-CN"/>
                <w14:textFill>
                  <w14:solidFill>
                    <w14:schemeClr w14:val="tx1">
                      <w14:lumMod w14:val="95000"/>
                      <w14:lumOff w14:val="5000"/>
                    </w14:schemeClr>
                  </w14:solidFill>
                </w14:textFill>
              </w:rPr>
              <w:t>27</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eastAsia="宋体" w:cs="宋体"/>
                <w:bCs/>
                <w:color w:val="0D0D0D" w:themeColor="text1" w:themeTint="F2"/>
                <w:sz w:val="18"/>
                <w:szCs w:val="18"/>
                <w:lang w:eastAsia="zh-CN"/>
                <w14:textFill>
                  <w14:solidFill>
                    <w14:schemeClr w14:val="tx1">
                      <w14:lumMod w14:val="95000"/>
                      <w14:lumOff w14:val="5000"/>
                    </w14:schemeClr>
                  </w14:solidFill>
                </w14:textFill>
              </w:rPr>
              <w:t>上</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午</w:t>
            </w:r>
            <w:r>
              <w:rPr>
                <w:rFonts w:hint="eastAsia" w:ascii="宋体" w:hAnsi="宋体" w:eastAsia="宋体" w:cs="宋体"/>
                <w:bCs/>
                <w:color w:val="0D0D0D" w:themeColor="text1" w:themeTint="F2"/>
                <w:sz w:val="18"/>
                <w:szCs w:val="18"/>
                <w:lang w:val="en-US" w:eastAsia="zh-CN"/>
                <w14:textFill>
                  <w14:solidFill>
                    <w14:schemeClr w14:val="tx1">
                      <w14:lumMod w14:val="95000"/>
                      <w14:lumOff w14:val="5000"/>
                    </w14:schemeClr>
                  </w14:solidFill>
                </w14:textFill>
              </w:rPr>
              <w:t>9</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:30</w:t>
            </w:r>
          </w:p>
        </w:tc>
        <w:tc>
          <w:tcPr>
            <w:tcW w:w="437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cs="宋体"/>
                <w:bCs/>
                <w:color w:val="0D0D0D" w:themeColor="text1" w:themeTint="F2"/>
                <w:kern w:val="2"/>
                <w:sz w:val="18"/>
                <w:szCs w:val="18"/>
                <w:lang w:val="en-US" w:eastAsia="zh-CN"/>
                <w14:textFill>
                  <w14:solidFill>
                    <w14:schemeClr w14:val="tx1">
                      <w14:lumMod w14:val="95000"/>
                      <w14:lumOff w14:val="5000"/>
                    </w14:schemeClr>
                  </w14:solidFill>
                </w14:textFill>
              </w:rPr>
              <w:t>1.纸质版</w:t>
            </w: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参选文件递交地点：</w:t>
            </w:r>
            <w:r>
              <w:rPr>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t>深铁置业大厦</w:t>
            </w: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会议室</w:t>
            </w:r>
          </w:p>
          <w:p>
            <w:pPr>
              <w:pStyle w:val="3"/>
              <w:adjustRightInd w:val="0"/>
              <w:snapToGrid w:val="0"/>
              <w:spacing w:line="240" w:lineRule="auto"/>
              <w:ind w:left="141" w:leftChars="67" w:firstLine="0" w:firstLineChars="0"/>
              <w:jc w:val="center"/>
              <w:rPr>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pPr>
            <w:r>
              <w:rPr>
                <w:rFonts w:hint="eastAsia" w:ascii="宋体" w:hAnsi="宋体" w:cs="宋体"/>
                <w:bCs/>
                <w:color w:val="0D0D0D" w:themeColor="text1" w:themeTint="F2"/>
                <w:kern w:val="2"/>
                <w:sz w:val="18"/>
                <w:szCs w:val="18"/>
                <w:lang w:val="en-US" w:eastAsia="zh-CN"/>
                <w14:textFill>
                  <w14:solidFill>
                    <w14:schemeClr w14:val="tx1">
                      <w14:lumMod w14:val="95000"/>
                      <w14:lumOff w14:val="5000"/>
                    </w14:schemeClr>
                  </w14:solidFill>
                </w14:textFill>
              </w:rPr>
              <w:t>2.电子版</w:t>
            </w:r>
            <w:r>
              <w:rPr>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t>参选文件递交平台：深圳地铁智能招采系统</w:t>
            </w:r>
          </w:p>
          <w:p>
            <w:pPr>
              <w:pStyle w:val="3"/>
              <w:adjustRightInd w:val="0"/>
              <w:snapToGrid w:val="0"/>
              <w:spacing w:line="240" w:lineRule="auto"/>
              <w:ind w:left="141" w:leftChars="67" w:firstLine="0" w:firstLineChars="0"/>
              <w:jc w:val="center"/>
              <w:rPr>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pPr>
            <w:r>
              <w:rPr>
                <w:rStyle w:val="12"/>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eastAsia="宋体" w:cs="宋体"/>
                <w:bCs/>
                <w:color w:val="0D0D0D" w:themeColor="text1" w:themeTint="F2"/>
                <w:kern w:val="2"/>
                <w:sz w:val="18"/>
                <w:szCs w:val="18"/>
                <w:lang w:val="en-US" w:eastAsia="zh-CN"/>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lang w:val="en-US" w:eastAsia="zh-CN"/>
                <w14:textFill>
                  <w14:solidFill>
                    <w14:schemeClr w14:val="tx1">
                      <w14:lumMod w14:val="95000"/>
                      <w14:lumOff w14:val="5000"/>
                    </w14:schemeClr>
                  </w14:solidFill>
                </w14:textFill>
              </w:rPr>
              <w:t>3</w:t>
            </w:r>
          </w:p>
        </w:tc>
        <w:tc>
          <w:tcPr>
            <w:tcW w:w="170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lang w:eastAsia="zh-CN"/>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lang w:eastAsia="zh-CN"/>
                <w14:textFill>
                  <w14:solidFill>
                    <w14:schemeClr w14:val="tx1">
                      <w14:lumMod w14:val="95000"/>
                      <w14:lumOff w14:val="5000"/>
                    </w14:schemeClr>
                  </w14:solidFill>
                </w14:textFill>
              </w:rPr>
              <w:t>述标</w:t>
            </w:r>
          </w:p>
        </w:tc>
        <w:tc>
          <w:tcPr>
            <w:tcW w:w="2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cs="宋体"/>
                <w:bCs/>
                <w:color w:val="0D0D0D" w:themeColor="text1" w:themeTint="F2"/>
                <w:sz w:val="18"/>
                <w:szCs w:val="18"/>
                <w:lang w:val="en-US" w:eastAsia="zh-CN"/>
                <w14:textFill>
                  <w14:solidFill>
                    <w14:schemeClr w14:val="tx1">
                      <w14:lumMod w14:val="95000"/>
                      <w14:lumOff w14:val="5000"/>
                    </w14:schemeClr>
                  </w14:solidFill>
                </w14:textFill>
              </w:rPr>
              <w:t>27</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eastAsia="宋体" w:cs="宋体"/>
                <w:bCs/>
                <w:color w:val="0D0D0D" w:themeColor="text1" w:themeTint="F2"/>
                <w:sz w:val="18"/>
                <w:szCs w:val="18"/>
                <w:lang w:eastAsia="zh-CN"/>
                <w14:textFill>
                  <w14:solidFill>
                    <w14:schemeClr w14:val="tx1">
                      <w14:lumMod w14:val="95000"/>
                      <w14:lumOff w14:val="5000"/>
                    </w14:schemeClr>
                  </w14:solidFill>
                </w14:textFill>
              </w:rPr>
              <w:t>上</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午</w:t>
            </w:r>
            <w:r>
              <w:rPr>
                <w:rFonts w:hint="eastAsia" w:ascii="宋体" w:hAnsi="宋体" w:eastAsia="宋体" w:cs="宋体"/>
                <w:bCs/>
                <w:color w:val="0D0D0D" w:themeColor="text1" w:themeTint="F2"/>
                <w:sz w:val="18"/>
                <w:szCs w:val="18"/>
                <w:lang w:val="en-US" w:eastAsia="zh-CN"/>
                <w14:textFill>
                  <w14:solidFill>
                    <w14:schemeClr w14:val="tx1">
                      <w14:lumMod w14:val="95000"/>
                      <w14:lumOff w14:val="5000"/>
                    </w14:schemeClr>
                  </w14:solidFill>
                </w14:textFill>
              </w:rPr>
              <w:t>9</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:30</w:t>
            </w:r>
          </w:p>
        </w:tc>
        <w:tc>
          <w:tcPr>
            <w:tcW w:w="437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地点：</w:t>
            </w:r>
            <w:r>
              <w:rPr>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t>深铁置业大厦</w:t>
            </w: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eastAsia="宋体" w:cs="宋体"/>
                <w:bCs/>
                <w:color w:val="0D0D0D" w:themeColor="text1" w:themeTint="F2"/>
                <w:kern w:val="2"/>
                <w:sz w:val="18"/>
                <w:szCs w:val="18"/>
                <w:lang w:eastAsia="zh-CN"/>
                <w14:textFill>
                  <w14:solidFill>
                    <w14:schemeClr w14:val="tx1">
                      <w14:lumMod w14:val="95000"/>
                      <w14:lumOff w14:val="5000"/>
                    </w14:schemeClr>
                  </w14:solidFill>
                </w14:textFill>
              </w:rPr>
            </w:pPr>
            <w:r>
              <w:rPr>
                <w:rFonts w:hint="eastAsia" w:ascii="宋体" w:hAnsi="宋体" w:cs="宋体"/>
                <w:bCs/>
                <w:color w:val="0D0D0D" w:themeColor="text1" w:themeTint="F2"/>
                <w:kern w:val="2"/>
                <w:sz w:val="18"/>
                <w:szCs w:val="18"/>
                <w:lang w:val="en-US" w:eastAsia="zh-CN"/>
                <w14:textFill>
                  <w14:solidFill>
                    <w14:schemeClr w14:val="tx1">
                      <w14:lumMod w14:val="95000"/>
                      <w14:lumOff w14:val="5000"/>
                    </w14:schemeClr>
                  </w14:solidFill>
                </w14:textFill>
              </w:rPr>
              <w:t>4</w:t>
            </w:r>
          </w:p>
        </w:tc>
        <w:tc>
          <w:tcPr>
            <w:tcW w:w="1708"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lang w:eastAsia="zh-CN"/>
                <w14:textFill>
                  <w14:solidFill>
                    <w14:schemeClr w14:val="tx1">
                      <w14:lumMod w14:val="95000"/>
                      <w14:lumOff w14:val="5000"/>
                    </w14:schemeClr>
                  </w14:solidFill>
                </w14:textFill>
              </w:rPr>
              <w:t>评</w:t>
            </w: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标</w:t>
            </w:r>
          </w:p>
        </w:tc>
        <w:tc>
          <w:tcPr>
            <w:tcW w:w="2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pPr>
            <w:r>
              <w:rPr>
                <w:rFonts w:hint="eastAsia" w:ascii="宋体" w:hAnsi="宋体" w:eastAsia="宋体" w:cs="宋体"/>
                <w:bCs/>
                <w:color w:val="0D0D0D" w:themeColor="text1" w:themeTint="F2"/>
                <w:sz w:val="18"/>
                <w:szCs w:val="18"/>
                <w:lang w:val="en-US" w:eastAsia="zh-CN"/>
                <w14:textFill>
                  <w14:solidFill>
                    <w14:schemeClr w14:val="tx1">
                      <w14:lumMod w14:val="95000"/>
                      <w14:lumOff w14:val="5000"/>
                    </w14:schemeClr>
                  </w14:solidFill>
                </w14:textFill>
              </w:rPr>
              <w:t>7</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月</w:t>
            </w:r>
            <w:r>
              <w:rPr>
                <w:rFonts w:hint="eastAsia" w:ascii="宋体" w:hAnsi="宋体" w:cs="宋体"/>
                <w:bCs/>
                <w:color w:val="0D0D0D" w:themeColor="text1" w:themeTint="F2"/>
                <w:sz w:val="18"/>
                <w:szCs w:val="18"/>
                <w:lang w:val="en-US" w:eastAsia="zh-CN"/>
                <w14:textFill>
                  <w14:solidFill>
                    <w14:schemeClr w14:val="tx1">
                      <w14:lumMod w14:val="95000"/>
                      <w14:lumOff w14:val="5000"/>
                    </w14:schemeClr>
                  </w14:solidFill>
                </w14:textFill>
              </w:rPr>
              <w:t>29</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日</w:t>
            </w:r>
            <w:r>
              <w:rPr>
                <w:rFonts w:hint="eastAsia" w:ascii="宋体" w:hAnsi="宋体" w:eastAsia="宋体" w:cs="宋体"/>
                <w:bCs/>
                <w:color w:val="0D0D0D" w:themeColor="text1" w:themeTint="F2"/>
                <w:sz w:val="18"/>
                <w:szCs w:val="18"/>
                <w:lang w:eastAsia="zh-CN"/>
                <w14:textFill>
                  <w14:solidFill>
                    <w14:schemeClr w14:val="tx1">
                      <w14:lumMod w14:val="95000"/>
                      <w14:lumOff w14:val="5000"/>
                    </w14:schemeClr>
                  </w14:solidFill>
                </w14:textFill>
              </w:rPr>
              <w:t>上午</w:t>
            </w:r>
            <w:r>
              <w:rPr>
                <w:rFonts w:hint="eastAsia" w:ascii="宋体" w:hAnsi="宋体" w:eastAsia="宋体" w:cs="宋体"/>
                <w:bCs/>
                <w:color w:val="0D0D0D" w:themeColor="text1" w:themeTint="F2"/>
                <w:sz w:val="18"/>
                <w:szCs w:val="18"/>
                <w:lang w:val="en-US" w:eastAsia="zh-CN"/>
                <w14:textFill>
                  <w14:solidFill>
                    <w14:schemeClr w14:val="tx1">
                      <w14:lumMod w14:val="95000"/>
                      <w14:lumOff w14:val="5000"/>
                    </w14:schemeClr>
                  </w14:solidFill>
                </w14:textFill>
              </w:rPr>
              <w:t>9</w:t>
            </w:r>
            <w:r>
              <w:rPr>
                <w:rFonts w:hint="eastAsia" w:ascii="宋体" w:hAnsi="宋体" w:eastAsia="宋体" w:cs="宋体"/>
                <w:bCs/>
                <w:color w:val="0D0D0D" w:themeColor="text1" w:themeTint="F2"/>
                <w:sz w:val="18"/>
                <w:szCs w:val="18"/>
                <w14:textFill>
                  <w14:solidFill>
                    <w14:schemeClr w14:val="tx1">
                      <w14:lumMod w14:val="95000"/>
                      <w14:lumOff w14:val="5000"/>
                    </w14:schemeClr>
                  </w14:solidFill>
                </w14:textFill>
              </w:rPr>
              <w:t>:30</w:t>
            </w:r>
          </w:p>
        </w:tc>
        <w:tc>
          <w:tcPr>
            <w:tcW w:w="437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28" w:firstLineChars="16"/>
              <w:jc w:val="center"/>
              <w:rPr>
                <w:rFonts w:hint="eastAsia" w:ascii="宋体" w:hAnsi="宋体" w:eastAsia="宋体" w:cs="宋体"/>
                <w:bCs/>
                <w:color w:val="0D0D0D" w:themeColor="text1" w:themeTint="F2"/>
                <w:kern w:val="2"/>
                <w:sz w:val="18"/>
                <w:szCs w:val="18"/>
                <w:lang w:eastAsia="zh-CN"/>
                <w14:textFill>
                  <w14:solidFill>
                    <w14:schemeClr w14:val="tx1">
                      <w14:lumMod w14:val="95000"/>
                      <w14:lumOff w14:val="5000"/>
                    </w14:schemeClr>
                  </w14:solidFill>
                </w14:textFill>
              </w:rPr>
            </w:pPr>
            <w:r>
              <w:rPr>
                <w:rFonts w:hint="eastAsia" w:ascii="宋体" w:hAnsi="宋体" w:eastAsia="宋体" w:cs="宋体"/>
                <w:bCs/>
                <w:color w:val="0D0D0D" w:themeColor="text1" w:themeTint="F2"/>
                <w:kern w:val="2"/>
                <w:sz w:val="18"/>
                <w:szCs w:val="18"/>
                <w14:textFill>
                  <w14:solidFill>
                    <w14:schemeClr w14:val="tx1">
                      <w14:lumMod w14:val="95000"/>
                      <w14:lumOff w14:val="5000"/>
                    </w14:schemeClr>
                  </w14:solidFill>
                </w14:textFill>
              </w:rPr>
              <w:t>开标地点：</w:t>
            </w:r>
            <w:r>
              <w:rPr>
                <w:rFonts w:hint="eastAsia" w:ascii="宋体" w:hAnsi="宋体" w:cs="宋体"/>
                <w:bCs/>
                <w:color w:val="0D0D0D" w:themeColor="text1" w:themeTint="F2"/>
                <w:kern w:val="2"/>
                <w:sz w:val="18"/>
                <w:szCs w:val="18"/>
                <w:lang w:eastAsia="zh-CN"/>
                <w14:textFill>
                  <w14:solidFill>
                    <w14:schemeClr w14:val="tx1">
                      <w14:lumMod w14:val="95000"/>
                      <w14:lumOff w14:val="5000"/>
                    </w14:schemeClr>
                  </w14:solidFill>
                </w14:textFill>
              </w:rPr>
              <w:t>地铁大厦会议室</w:t>
            </w:r>
            <w:bookmarkStart w:id="6" w:name="_GoBack"/>
            <w:bookmarkEnd w:id="6"/>
          </w:p>
        </w:tc>
      </w:tr>
    </w:tbl>
    <w:p>
      <w:pPr>
        <w:spacing w:line="360" w:lineRule="auto"/>
        <w:ind w:firstLine="480" w:firstLineChars="200"/>
        <w:jc w:val="left"/>
        <w:rPr>
          <w:rFonts w:hint="default" w:ascii="宋体" w:hAnsi="宋体" w:eastAsia="宋体"/>
          <w:b w:val="0"/>
          <w:kern w:val="0"/>
          <w:sz w:val="24"/>
          <w:szCs w:val="24"/>
          <w:lang w:eastAsia="zh-CN"/>
        </w:rPr>
      </w:pPr>
      <w:r>
        <w:rPr>
          <w:rFonts w:hint="eastAsia" w:ascii="宋体" w:hAnsi="宋体"/>
          <w:b w:val="0"/>
          <w:kern w:val="0"/>
          <w:sz w:val="24"/>
          <w:szCs w:val="24"/>
          <w:lang w:eastAsia="zh-CN"/>
        </w:rPr>
        <w:t>注：</w:t>
      </w:r>
      <w:r>
        <w:rPr>
          <w:rFonts w:hint="eastAsia" w:ascii="宋体" w:hAnsi="宋体"/>
          <w:b w:val="0"/>
          <w:kern w:val="0"/>
          <w:sz w:val="24"/>
          <w:szCs w:val="24"/>
          <w:lang w:val="en-US" w:eastAsia="zh-CN"/>
        </w:rPr>
        <w:t>1.</w:t>
      </w:r>
      <w:r>
        <w:rPr>
          <w:rFonts w:hint="eastAsia" w:ascii="宋体" w:hAnsi="宋体"/>
          <w:kern w:val="0"/>
          <w:sz w:val="24"/>
          <w:szCs w:val="24"/>
        </w:rPr>
        <w:t>以上地点有可能变动。如有变动，以比选人的最新通知为准</w:t>
      </w:r>
      <w:r>
        <w:rPr>
          <w:rFonts w:hint="eastAsia" w:ascii="宋体" w:hAnsi="宋体"/>
          <w:kern w:val="0"/>
          <w:sz w:val="24"/>
          <w:szCs w:val="24"/>
          <w:lang w:eastAsia="zh-CN"/>
        </w:rPr>
        <w:t>。</w:t>
      </w:r>
      <w:r>
        <w:rPr>
          <w:rFonts w:hint="eastAsia" w:ascii="宋体" w:hAnsi="宋体"/>
          <w:kern w:val="0"/>
          <w:sz w:val="24"/>
          <w:szCs w:val="24"/>
          <w:lang w:val="en-US" w:eastAsia="zh-CN"/>
        </w:rPr>
        <w:t>2.参选文件纸质版及电子版均需在截标时间前递交。</w:t>
      </w:r>
    </w:p>
    <w:p>
      <w:pPr>
        <w:pStyle w:val="4"/>
        <w:spacing w:line="360" w:lineRule="auto"/>
        <w:ind w:firstLine="482" w:firstLineChars="200"/>
        <w:rPr>
          <w:rFonts w:hint="eastAsia" w:hAnsi="宋体"/>
          <w:b/>
          <w:sz w:val="24"/>
          <w:szCs w:val="24"/>
        </w:rPr>
      </w:pPr>
      <w:r>
        <w:rPr>
          <w:rFonts w:hint="eastAsia" w:hAnsi="宋体"/>
          <w:b/>
          <w:sz w:val="24"/>
          <w:szCs w:val="24"/>
        </w:rPr>
        <w:t>七、参选文件所需材料：</w:t>
      </w:r>
    </w:p>
    <w:p>
      <w:pPr>
        <w:pStyle w:val="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0" w:leftChars="0" w:firstLine="480" w:firstLineChars="200"/>
        <w:textAlignment w:val="baseline"/>
        <w:rPr>
          <w:rFonts w:hint="eastAsia" w:hAnsi="宋体"/>
          <w:sz w:val="24"/>
          <w:szCs w:val="24"/>
          <w:lang w:val="en-US" w:eastAsia="zh-CN"/>
        </w:rPr>
      </w:pPr>
      <w:r>
        <w:rPr>
          <w:rFonts w:hint="eastAsia" w:hAnsi="宋体"/>
          <w:sz w:val="24"/>
          <w:szCs w:val="24"/>
          <w:lang w:val="en-US" w:eastAsia="zh-CN"/>
        </w:rPr>
        <w:t>1.根据比选文件编制的参选文件；</w:t>
      </w:r>
    </w:p>
    <w:p>
      <w:pPr>
        <w:pStyle w:val="4"/>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textAlignment w:val="baseline"/>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4"/>
        <w:spacing w:line="360" w:lineRule="auto"/>
        <w:ind w:firstLine="482" w:firstLineChars="200"/>
        <w:rPr>
          <w:rFonts w:hint="eastAsia" w:hAnsi="宋体"/>
          <w:b/>
          <w:sz w:val="24"/>
          <w:szCs w:val="24"/>
        </w:rPr>
      </w:pPr>
      <w:r>
        <w:rPr>
          <w:rFonts w:hint="eastAsia" w:hAnsi="宋体"/>
          <w:b/>
          <w:sz w:val="24"/>
          <w:szCs w:val="24"/>
        </w:rPr>
        <w:t>八、参选联系人</w:t>
      </w:r>
    </w:p>
    <w:p>
      <w:pPr>
        <w:pStyle w:val="4"/>
        <w:spacing w:line="360" w:lineRule="auto"/>
        <w:ind w:firstLine="480" w:firstLineChars="200"/>
        <w:rPr>
          <w:rFonts w:hAnsi="宋体"/>
          <w:sz w:val="24"/>
          <w:szCs w:val="24"/>
        </w:rPr>
      </w:pPr>
      <w:r>
        <w:rPr>
          <w:rFonts w:hint="eastAsia" w:hAnsi="宋体"/>
          <w:sz w:val="24"/>
          <w:szCs w:val="24"/>
        </w:rPr>
        <w:t>联系人：</w:t>
      </w:r>
      <w:r>
        <w:rPr>
          <w:rFonts w:hint="eastAsia" w:hAnsi="宋体"/>
          <w:sz w:val="24"/>
          <w:lang w:eastAsia="zh-CN"/>
        </w:rPr>
        <w:t>郭</w:t>
      </w:r>
      <w:r>
        <w:rPr>
          <w:rFonts w:hint="eastAsia" w:hAnsi="宋体"/>
          <w:sz w:val="24"/>
        </w:rPr>
        <w:t>女士</w:t>
      </w:r>
    </w:p>
    <w:p>
      <w:pPr>
        <w:pStyle w:val="4"/>
        <w:spacing w:line="360" w:lineRule="auto"/>
        <w:ind w:firstLine="480" w:firstLineChars="200"/>
        <w:rPr>
          <w:rFonts w:hint="default" w:hAnsi="宋体" w:eastAsia="宋体"/>
          <w:sz w:val="24"/>
          <w:szCs w:val="24"/>
          <w:lang w:val="en-US" w:eastAsia="zh-CN"/>
        </w:rPr>
      </w:pPr>
      <w:r>
        <w:rPr>
          <w:rFonts w:hint="eastAsia" w:hAnsi="宋体"/>
          <w:sz w:val="24"/>
          <w:szCs w:val="24"/>
        </w:rPr>
        <w:t>联系电话：</w:t>
      </w:r>
      <w:r>
        <w:rPr>
          <w:rFonts w:hint="eastAsia" w:hAnsi="宋体"/>
          <w:sz w:val="24"/>
          <w:szCs w:val="24"/>
          <w:lang w:val="en-US" w:eastAsia="zh-CN"/>
        </w:rPr>
        <w:t>13411196142</w:t>
      </w:r>
    </w:p>
    <w:p>
      <w:pPr>
        <w:pStyle w:val="4"/>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4"/>
        <w:wordWrap w:val="0"/>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2021年</w:t>
      </w:r>
      <w:r>
        <w:rPr>
          <w:rFonts w:hint="eastAsia" w:hAnsi="宋体"/>
          <w:sz w:val="24"/>
          <w:szCs w:val="24"/>
          <w:lang w:val="en-US" w:eastAsia="zh-CN"/>
        </w:rPr>
        <w:t>7</w:t>
      </w:r>
      <w:r>
        <w:rPr>
          <w:rFonts w:hint="eastAsia" w:hAnsi="宋体"/>
          <w:sz w:val="24"/>
          <w:szCs w:val="24"/>
        </w:rPr>
        <w:t>月</w:t>
      </w:r>
      <w:r>
        <w:rPr>
          <w:rFonts w:hint="eastAsia" w:hAnsi="宋体"/>
          <w:sz w:val="24"/>
          <w:szCs w:val="24"/>
          <w:lang w:val="en-US" w:eastAsia="zh-CN"/>
        </w:rPr>
        <w:t>12</w:t>
      </w:r>
      <w:r>
        <w:rPr>
          <w:rFonts w:hint="eastAsia" w:hAnsi="宋体"/>
          <w:sz w:val="24"/>
          <w:szCs w:val="24"/>
        </w:rPr>
        <w:t>日</w:t>
      </w:r>
    </w:p>
    <w:p>
      <w:pPr>
        <w:pStyle w:val="4"/>
        <w:spacing w:line="360" w:lineRule="auto"/>
        <w:ind w:firstLine="480" w:firstLineChars="200"/>
        <w:jc w:val="right"/>
        <w:rPr>
          <w:rFonts w:hAnsi="宋体"/>
          <w:sz w:val="24"/>
          <w:szCs w:val="24"/>
        </w:rPr>
      </w:pPr>
    </w:p>
    <w:p>
      <w:pPr>
        <w:pStyle w:val="4"/>
        <w:spacing w:line="360" w:lineRule="auto"/>
        <w:ind w:firstLine="480" w:firstLineChars="200"/>
        <w:jc w:val="right"/>
        <w:rPr>
          <w:rFonts w:hAnsi="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7370AF"/>
    <w:multiLevelType w:val="singleLevel"/>
    <w:tmpl w:val="7E7370A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FB0"/>
    <w:rsid w:val="000009E8"/>
    <w:rsid w:val="000636E6"/>
    <w:rsid w:val="000755E8"/>
    <w:rsid w:val="000F7D75"/>
    <w:rsid w:val="00110AB8"/>
    <w:rsid w:val="00373944"/>
    <w:rsid w:val="003D67D3"/>
    <w:rsid w:val="004313C0"/>
    <w:rsid w:val="00515566"/>
    <w:rsid w:val="00540A37"/>
    <w:rsid w:val="005F6A8E"/>
    <w:rsid w:val="006B1E0F"/>
    <w:rsid w:val="007E4040"/>
    <w:rsid w:val="008A685D"/>
    <w:rsid w:val="009D0D71"/>
    <w:rsid w:val="00A50559"/>
    <w:rsid w:val="00AF4247"/>
    <w:rsid w:val="00B10905"/>
    <w:rsid w:val="00B12069"/>
    <w:rsid w:val="00B61785"/>
    <w:rsid w:val="00C03FB0"/>
    <w:rsid w:val="00D53580"/>
    <w:rsid w:val="00D9719E"/>
    <w:rsid w:val="00DA70C4"/>
    <w:rsid w:val="00DF684D"/>
    <w:rsid w:val="00EB54F7"/>
    <w:rsid w:val="00F21559"/>
    <w:rsid w:val="00FC4B3A"/>
    <w:rsid w:val="00FD75D9"/>
    <w:rsid w:val="050F1B7C"/>
    <w:rsid w:val="0B0D7954"/>
    <w:rsid w:val="0D0D0309"/>
    <w:rsid w:val="0DF5375A"/>
    <w:rsid w:val="18B11920"/>
    <w:rsid w:val="1ACA6728"/>
    <w:rsid w:val="1B0415A5"/>
    <w:rsid w:val="23561890"/>
    <w:rsid w:val="26A8134A"/>
    <w:rsid w:val="285936FD"/>
    <w:rsid w:val="2A7B349D"/>
    <w:rsid w:val="2FF35496"/>
    <w:rsid w:val="31EB1052"/>
    <w:rsid w:val="324503A8"/>
    <w:rsid w:val="33C614CC"/>
    <w:rsid w:val="35EB30C6"/>
    <w:rsid w:val="362B72A1"/>
    <w:rsid w:val="374F2C44"/>
    <w:rsid w:val="386A35EF"/>
    <w:rsid w:val="3B007652"/>
    <w:rsid w:val="3C9B21B9"/>
    <w:rsid w:val="3CEA15A8"/>
    <w:rsid w:val="410B698C"/>
    <w:rsid w:val="4E210A30"/>
    <w:rsid w:val="554179CC"/>
    <w:rsid w:val="56357FA5"/>
    <w:rsid w:val="565D2C52"/>
    <w:rsid w:val="57412917"/>
    <w:rsid w:val="574144DF"/>
    <w:rsid w:val="57EE3D42"/>
    <w:rsid w:val="59051B5F"/>
    <w:rsid w:val="5BF915A7"/>
    <w:rsid w:val="62192330"/>
    <w:rsid w:val="66686F44"/>
    <w:rsid w:val="67DD6BEF"/>
    <w:rsid w:val="67FA5FCA"/>
    <w:rsid w:val="6D063A51"/>
    <w:rsid w:val="70AE605F"/>
    <w:rsid w:val="744B174B"/>
    <w:rsid w:val="7E020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5"/>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4">
    <w:name w:val="Plain Text"/>
    <w:basedOn w:val="1"/>
    <w:link w:val="16"/>
    <w:qFormat/>
    <w:uiPriority w:val="0"/>
    <w:pPr>
      <w:adjustRightInd w:val="0"/>
      <w:spacing w:line="312" w:lineRule="atLeast"/>
      <w:textAlignment w:val="baseline"/>
    </w:pPr>
    <w:rPr>
      <w:rFonts w:ascii="宋体" w:hAnsi="Courier New"/>
      <w:kern w:val="0"/>
      <w:sz w:val="20"/>
    </w:rPr>
  </w:style>
  <w:style w:type="paragraph" w:styleId="5">
    <w:name w:val="Date"/>
    <w:basedOn w:val="1"/>
    <w:next w:val="1"/>
    <w:link w:val="17"/>
    <w:semiHidden/>
    <w:unhideWhenUsed/>
    <w:qFormat/>
    <w:uiPriority w:val="99"/>
    <w:pPr>
      <w:ind w:left="100" w:leftChars="2500"/>
    </w:pPr>
  </w:style>
  <w:style w:type="paragraph" w:styleId="6">
    <w:name w:val="Balloon Text"/>
    <w:basedOn w:val="1"/>
    <w:link w:val="18"/>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character" w:customStyle="1" w:styleId="15">
    <w:name w:val="标题 3 Char"/>
    <w:basedOn w:val="11"/>
    <w:link w:val="2"/>
    <w:qFormat/>
    <w:uiPriority w:val="0"/>
    <w:rPr>
      <w:rFonts w:ascii="Times New Roman" w:hAnsi="Times New Roman" w:eastAsia="宋体" w:cs="Times New Roman"/>
      <w:b/>
      <w:kern w:val="0"/>
      <w:sz w:val="32"/>
      <w:szCs w:val="20"/>
    </w:rPr>
  </w:style>
  <w:style w:type="character" w:customStyle="1" w:styleId="16">
    <w:name w:val="纯文本 Char"/>
    <w:basedOn w:val="11"/>
    <w:link w:val="4"/>
    <w:qFormat/>
    <w:uiPriority w:val="0"/>
    <w:rPr>
      <w:rFonts w:ascii="宋体" w:hAnsi="Courier New" w:eastAsia="宋体" w:cs="Times New Roman"/>
      <w:kern w:val="0"/>
      <w:sz w:val="20"/>
      <w:szCs w:val="20"/>
    </w:rPr>
  </w:style>
  <w:style w:type="character" w:customStyle="1" w:styleId="17">
    <w:name w:val="日期 Char"/>
    <w:basedOn w:val="11"/>
    <w:link w:val="5"/>
    <w:semiHidden/>
    <w:qFormat/>
    <w:uiPriority w:val="99"/>
    <w:rPr>
      <w:rFonts w:ascii="Times New Roman" w:hAnsi="Times New Roman" w:eastAsia="宋体" w:cs="Times New Roman"/>
      <w:szCs w:val="20"/>
    </w:rPr>
  </w:style>
  <w:style w:type="character" w:customStyle="1" w:styleId="18">
    <w:name w:val="批注框文本 Char"/>
    <w:basedOn w:val="11"/>
    <w:link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403</Words>
  <Characters>2299</Characters>
  <Lines>19</Lines>
  <Paragraphs>5</Paragraphs>
  <TotalTime>19</TotalTime>
  <ScaleCrop>false</ScaleCrop>
  <LinksUpToDate>false</LinksUpToDate>
  <CharactersWithSpaces>2697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2021-01-28T18:34:00Z</dcterms:created>
  <dc:creator>NTKO</dc:creator>
  <cp:lastModifiedBy>郭利珊</cp:lastModifiedBy>
  <dcterms:modified xsi:type="dcterms:W3CDTF">2021-07-09T11:19:58Z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