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tLeast"/>
        <w:ind w:left="0" w:firstLine="0"/>
        <w:jc w:val="center"/>
        <w:rPr>
          <w:rFonts w:ascii="宋体" w:hAnsi="宋体"/>
          <w:bCs/>
          <w:kern w:val="44"/>
          <w:sz w:val="36"/>
          <w:szCs w:val="36"/>
        </w:rPr>
      </w:pPr>
      <w:bookmarkStart w:id="0" w:name="_Toc22316"/>
      <w:bookmarkStart w:id="1" w:name="_Toc28307"/>
      <w:bookmarkStart w:id="2" w:name="_Toc5607"/>
      <w:bookmarkStart w:id="3" w:name="_Toc24850"/>
      <w:bookmarkStart w:id="4" w:name="_Toc434234570"/>
      <w:r>
        <w:rPr>
          <w:rFonts w:hint="eastAsia" w:ascii="宋体" w:hAnsi="宋体"/>
          <w:bCs/>
          <w:kern w:val="44"/>
          <w:sz w:val="36"/>
          <w:szCs w:val="36"/>
        </w:rPr>
        <w:t>招标公告</w:t>
      </w:r>
      <w:bookmarkEnd w:id="0"/>
      <w:bookmarkEnd w:id="1"/>
      <w:bookmarkEnd w:id="2"/>
      <w:bookmarkEnd w:id="3"/>
    </w:p>
    <w:p>
      <w:pPr>
        <w:keepNext w:val="0"/>
        <w:keepLines w:val="0"/>
        <w:pageBreakBefore w:val="0"/>
        <w:widowControl w:val="0"/>
        <w:kinsoku/>
        <w:wordWrap/>
        <w:overflowPunct/>
        <w:autoSpaceDE/>
        <w:autoSpaceDN/>
        <w:bidi w:val="0"/>
        <w:spacing w:line="440" w:lineRule="exact"/>
        <w:ind w:firstLine="480" w:firstLineChars="200"/>
        <w:jc w:val="left"/>
        <w:rPr>
          <w:rFonts w:hAnsi="宋体"/>
          <w:sz w:val="24"/>
          <w:szCs w:val="24"/>
        </w:rPr>
      </w:pPr>
      <w:r>
        <w:rPr>
          <w:rFonts w:hint="eastAsia" w:hAnsi="宋体"/>
          <w:sz w:val="24"/>
          <w:szCs w:val="24"/>
        </w:rPr>
        <w:t>深圳市地铁集团有限公司拟对</w:t>
      </w:r>
      <w:r>
        <w:rPr>
          <w:rFonts w:hint="eastAsia" w:hAnsi="宋体"/>
          <w:b/>
          <w:bCs/>
          <w:sz w:val="24"/>
          <w:szCs w:val="24"/>
          <w:u w:val="single"/>
        </w:rPr>
        <w:t>深铁瑞城、深铁珑境、深铁璟城及前海时代项目按揭合作银行</w:t>
      </w:r>
      <w:r>
        <w:rPr>
          <w:rFonts w:hint="eastAsia" w:hAnsi="宋体"/>
          <w:b/>
          <w:sz w:val="24"/>
          <w:szCs w:val="24"/>
        </w:rPr>
        <w:t>（以下</w:t>
      </w:r>
      <w:r>
        <w:rPr>
          <w:rFonts w:hAnsi="宋体"/>
          <w:b/>
          <w:sz w:val="24"/>
          <w:szCs w:val="24"/>
        </w:rPr>
        <w:t>简称“本项目”）</w:t>
      </w:r>
      <w:r>
        <w:rPr>
          <w:rFonts w:hint="eastAsia" w:hAnsi="宋体"/>
          <w:sz w:val="24"/>
          <w:szCs w:val="24"/>
        </w:rPr>
        <w:t>进行公开招标，欢迎符合本招标公告公布资质要求的</w:t>
      </w:r>
      <w:r>
        <w:rPr>
          <w:rFonts w:hAnsi="宋体"/>
          <w:sz w:val="24"/>
          <w:szCs w:val="24"/>
        </w:rPr>
        <w:t>银行</w:t>
      </w:r>
      <w:r>
        <w:rPr>
          <w:rFonts w:hint="eastAsia" w:hAnsi="宋体"/>
          <w:sz w:val="24"/>
          <w:szCs w:val="24"/>
        </w:rPr>
        <w:t>参加投标。</w:t>
      </w:r>
    </w:p>
    <w:p>
      <w:pPr>
        <w:pStyle w:val="4"/>
        <w:keepNext w:val="0"/>
        <w:keepLines w:val="0"/>
        <w:pageBreakBefore w:val="0"/>
        <w:widowControl w:val="0"/>
        <w:kinsoku/>
        <w:wordWrap/>
        <w:overflowPunct/>
        <w:autoSpaceDE/>
        <w:autoSpaceDN/>
        <w:bidi w:val="0"/>
        <w:spacing w:line="440" w:lineRule="exact"/>
        <w:ind w:firstLine="482" w:firstLineChars="200"/>
        <w:rPr>
          <w:rFonts w:hAnsi="宋体"/>
          <w:b/>
          <w:sz w:val="24"/>
          <w:szCs w:val="24"/>
        </w:rPr>
      </w:pPr>
      <w:r>
        <w:rPr>
          <w:rFonts w:hint="eastAsia" w:hAnsi="宋体"/>
          <w:b/>
          <w:sz w:val="24"/>
          <w:szCs w:val="24"/>
        </w:rPr>
        <w:t>一、项目名称</w:t>
      </w:r>
    </w:p>
    <w:p>
      <w:pPr>
        <w:pStyle w:val="4"/>
        <w:keepNext w:val="0"/>
        <w:keepLines w:val="0"/>
        <w:pageBreakBefore w:val="0"/>
        <w:widowControl w:val="0"/>
        <w:kinsoku/>
        <w:wordWrap/>
        <w:overflowPunct/>
        <w:autoSpaceDE/>
        <w:autoSpaceDN/>
        <w:bidi w:val="0"/>
        <w:spacing w:line="440" w:lineRule="exact"/>
        <w:ind w:firstLine="482" w:firstLineChars="200"/>
        <w:rPr>
          <w:rFonts w:hAnsi="宋体"/>
          <w:b/>
          <w:bCs/>
          <w:sz w:val="24"/>
          <w:szCs w:val="24"/>
          <w:u w:val="single"/>
        </w:rPr>
      </w:pPr>
      <w:r>
        <w:rPr>
          <w:rFonts w:hint="eastAsia" w:hAnsi="宋体"/>
          <w:b/>
          <w:bCs/>
          <w:sz w:val="24"/>
          <w:szCs w:val="24"/>
          <w:u w:val="single"/>
        </w:rPr>
        <w:t>深铁瑞城、深铁珑境、深铁璟城及前海时代项目按揭合作银行项目</w:t>
      </w:r>
    </w:p>
    <w:p>
      <w:pPr>
        <w:pStyle w:val="4"/>
        <w:keepNext w:val="0"/>
        <w:keepLines w:val="0"/>
        <w:pageBreakBefore w:val="0"/>
        <w:widowControl w:val="0"/>
        <w:kinsoku/>
        <w:wordWrap/>
        <w:overflowPunct/>
        <w:autoSpaceDE/>
        <w:autoSpaceDN/>
        <w:bidi w:val="0"/>
        <w:spacing w:line="440" w:lineRule="exact"/>
        <w:ind w:firstLine="482" w:firstLineChars="200"/>
        <w:rPr>
          <w:rFonts w:hAnsi="宋体"/>
          <w:b/>
          <w:sz w:val="24"/>
          <w:szCs w:val="24"/>
        </w:rPr>
      </w:pPr>
      <w:r>
        <w:rPr>
          <w:rFonts w:hint="eastAsia" w:hAnsi="宋体"/>
          <w:b/>
          <w:sz w:val="24"/>
          <w:szCs w:val="24"/>
        </w:rPr>
        <w:t>二、招标内容</w:t>
      </w:r>
    </w:p>
    <w:p>
      <w:pPr>
        <w:pStyle w:val="4"/>
        <w:keepNext w:val="0"/>
        <w:keepLines w:val="0"/>
        <w:pageBreakBefore w:val="0"/>
        <w:widowControl w:val="0"/>
        <w:kinsoku/>
        <w:wordWrap/>
        <w:overflowPunct/>
        <w:autoSpaceDE/>
        <w:autoSpaceDN/>
        <w:bidi w:val="0"/>
        <w:spacing w:line="440" w:lineRule="exact"/>
        <w:ind w:firstLine="480" w:firstLineChars="200"/>
        <w:rPr>
          <w:rFonts w:hint="eastAsia" w:hAnsi="宋体"/>
          <w:bCs/>
          <w:sz w:val="24"/>
          <w:szCs w:val="24"/>
        </w:rPr>
      </w:pPr>
      <w:r>
        <w:rPr>
          <w:rFonts w:hint="eastAsia" w:hAnsi="宋体"/>
          <w:bCs/>
          <w:sz w:val="24"/>
          <w:szCs w:val="24"/>
        </w:rPr>
        <w:t>根据四个预售项目开发贷银行招标结果，对应项目的开发贷银行自动匹配位该项目预售款监管银行及按揭银行。本次四个预售项目拟分别选择N（7≤N≤10）家银行(含前述自动匹配银行）作为项目按揭合作银行，中标银行全部作为项目预售款监管银行，开立预售款监管专用账户。</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说明</w:t>
      </w:r>
      <w:r>
        <w:rPr>
          <w:rFonts w:hAnsi="宋体"/>
          <w:bCs/>
          <w:sz w:val="24"/>
          <w:szCs w:val="24"/>
        </w:rPr>
        <w:t>：7≤N≤10</w:t>
      </w:r>
      <w:r>
        <w:rPr>
          <w:rFonts w:hint="eastAsia" w:hAnsi="宋体"/>
          <w:bCs/>
          <w:sz w:val="24"/>
          <w:szCs w:val="24"/>
        </w:rPr>
        <w:t>（实际有效投标单位为</w:t>
      </w:r>
      <w:r>
        <w:rPr>
          <w:rFonts w:hAnsi="宋体"/>
          <w:bCs/>
          <w:sz w:val="24"/>
          <w:szCs w:val="24"/>
        </w:rPr>
        <w:t>9家，推荐排名前7的为中标候选人；实际有效投标单位为10家，推荐排名前8的为中标候选人；实际有效投标单位为11家，推荐排名前9的为中标候选人；实际有效投标单位为12家及以上的，推荐排名前10的为中标候选人）。实际以有效投标单位数量决定，有效投标单位达到9家，即视为满足招标条件。</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工作内容</w:t>
      </w:r>
      <w:r>
        <w:rPr>
          <w:rFonts w:hAnsi="宋体"/>
          <w:bCs/>
          <w:sz w:val="24"/>
          <w:szCs w:val="24"/>
        </w:rPr>
        <w:t>包括但不限于</w:t>
      </w:r>
      <w:r>
        <w:rPr>
          <w:rFonts w:hint="eastAsia" w:hAnsi="宋体"/>
          <w:bCs/>
          <w:color w:val="0D0D0D"/>
          <w:sz w:val="24"/>
          <w:szCs w:val="24"/>
        </w:rPr>
        <w:t>为深铁瑞城、深铁珑境、深铁璟城及前海时代</w:t>
      </w:r>
      <w:r>
        <w:rPr>
          <w:rFonts w:hAnsi="宋体"/>
          <w:bCs/>
          <w:color w:val="0D0D0D"/>
          <w:sz w:val="24"/>
          <w:szCs w:val="24"/>
        </w:rPr>
        <w:t>项目提供</w:t>
      </w:r>
      <w:r>
        <w:rPr>
          <w:rFonts w:hint="eastAsia" w:hAnsi="宋体"/>
          <w:bCs/>
          <w:sz w:val="24"/>
          <w:szCs w:val="24"/>
        </w:rPr>
        <w:t>：</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（一）为意向购房客户提供资料审核服务；</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（二）为购房客户提供按揭咨询服务；</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（三）为符合条件的购房者出具承贷函、提供按揭贷款；</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（四）办理预售商品房买卖合同的抵押登记；</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（五）办理预售商品房产权证，并办理他项权证抵押登记等相关工作；</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（六）</w:t>
      </w:r>
      <w:r>
        <w:rPr>
          <w:rFonts w:hint="eastAsia" w:hAnsi="宋体" w:cs="宋体"/>
          <w:color w:val="0D0D0D"/>
          <w:sz w:val="24"/>
          <w:szCs w:val="24"/>
        </w:rPr>
        <w:t>根据开发商需求办理资金监管账户开立等事宜；</w:t>
      </w:r>
    </w:p>
    <w:p>
      <w:pPr>
        <w:pStyle w:val="4"/>
        <w:keepNext w:val="0"/>
        <w:keepLines w:val="0"/>
        <w:pageBreakBefore w:val="0"/>
        <w:widowControl w:val="0"/>
        <w:kinsoku/>
        <w:wordWrap/>
        <w:overflowPunct/>
        <w:autoSpaceDE/>
        <w:autoSpaceDN/>
        <w:bidi w:val="0"/>
        <w:spacing w:line="440" w:lineRule="exact"/>
        <w:ind w:firstLine="480" w:firstLineChars="200"/>
        <w:rPr>
          <w:rFonts w:hAnsi="宋体"/>
          <w:bCs/>
          <w:sz w:val="24"/>
          <w:szCs w:val="24"/>
        </w:rPr>
      </w:pPr>
      <w:r>
        <w:rPr>
          <w:rFonts w:hint="eastAsia" w:hAnsi="宋体"/>
          <w:bCs/>
          <w:sz w:val="24"/>
          <w:szCs w:val="24"/>
        </w:rPr>
        <w:t>（七）完成合作协议约定的其他相关工作。</w:t>
      </w:r>
    </w:p>
    <w:p>
      <w:pPr>
        <w:pStyle w:val="4"/>
        <w:keepNext w:val="0"/>
        <w:keepLines w:val="0"/>
        <w:pageBreakBefore w:val="0"/>
        <w:widowControl w:val="0"/>
        <w:kinsoku/>
        <w:wordWrap/>
        <w:overflowPunct/>
        <w:autoSpaceDE/>
        <w:autoSpaceDN/>
        <w:bidi w:val="0"/>
        <w:spacing w:line="440" w:lineRule="exact"/>
        <w:ind w:firstLine="482" w:firstLineChars="200"/>
        <w:rPr>
          <w:rFonts w:hAnsi="宋体"/>
          <w:b/>
          <w:sz w:val="24"/>
          <w:szCs w:val="24"/>
        </w:rPr>
      </w:pPr>
      <w:r>
        <w:rPr>
          <w:rFonts w:hint="eastAsia" w:hAnsi="宋体"/>
          <w:b/>
          <w:sz w:val="24"/>
          <w:szCs w:val="24"/>
        </w:rPr>
        <w:t>三、投标人资格要求</w:t>
      </w:r>
    </w:p>
    <w:p>
      <w:pPr>
        <w:keepNext w:val="0"/>
        <w:keepLines w:val="0"/>
        <w:pageBreakBefore w:val="0"/>
        <w:widowControl w:val="0"/>
        <w:suppressAutoHyphens/>
        <w:kinsoku/>
        <w:wordWrap/>
        <w:overflowPunct/>
        <w:topLinePunct/>
        <w:autoSpaceDE/>
        <w:autoSpaceDN/>
        <w:bidi w:val="0"/>
        <w:snapToGrid w:val="0"/>
        <w:spacing w:line="440" w:lineRule="exact"/>
        <w:ind w:left="0" w:leftChars="0" w:firstLine="638" w:firstLineChars="266"/>
        <w:contextualSpacing/>
        <w:rPr>
          <w:rFonts w:hint="eastAsia" w:hAnsi="宋体"/>
          <w:bCs/>
          <w:sz w:val="24"/>
          <w:szCs w:val="24"/>
        </w:rPr>
      </w:pPr>
      <w:r>
        <w:rPr>
          <w:rFonts w:hint="eastAsia" w:hAnsi="宋体"/>
          <w:bCs/>
          <w:sz w:val="24"/>
          <w:szCs w:val="24"/>
        </w:rPr>
        <w:t>（一）投标人应是按照中华人民共和国法律合法注册成立的银行的分支机构；</w:t>
      </w:r>
    </w:p>
    <w:p>
      <w:pPr>
        <w:keepNext w:val="0"/>
        <w:keepLines w:val="0"/>
        <w:pageBreakBefore w:val="0"/>
        <w:widowControl w:val="0"/>
        <w:suppressAutoHyphens/>
        <w:kinsoku/>
        <w:wordWrap/>
        <w:overflowPunct/>
        <w:topLinePunct/>
        <w:autoSpaceDE/>
        <w:autoSpaceDN/>
        <w:bidi w:val="0"/>
        <w:snapToGrid w:val="0"/>
        <w:spacing w:line="440" w:lineRule="exact"/>
        <w:ind w:left="0" w:leftChars="0" w:firstLine="638" w:firstLineChars="266"/>
        <w:contextualSpacing/>
        <w:rPr>
          <w:rFonts w:hint="eastAsia" w:hAnsi="宋体"/>
          <w:bCs/>
          <w:sz w:val="24"/>
          <w:szCs w:val="24"/>
          <w:u w:val="none"/>
        </w:rPr>
      </w:pPr>
      <w:r>
        <w:rPr>
          <w:rFonts w:hint="eastAsia" w:hAnsi="宋体"/>
          <w:bCs/>
          <w:sz w:val="24"/>
          <w:szCs w:val="24"/>
        </w:rPr>
        <w:t>（二）</w:t>
      </w:r>
      <w:r>
        <w:rPr>
          <w:rFonts w:hint="eastAsia" w:hAnsi="宋体"/>
          <w:bCs/>
          <w:sz w:val="24"/>
          <w:szCs w:val="24"/>
          <w:lang w:eastAsia="zh-CN"/>
        </w:rPr>
        <w:t>投标人须为深圳地区分行级别，或由深圳分行</w:t>
      </w:r>
      <w:r>
        <w:rPr>
          <w:rFonts w:hint="eastAsia" w:hAnsi="宋体"/>
          <w:bCs/>
          <w:sz w:val="24"/>
          <w:szCs w:val="24"/>
        </w:rPr>
        <w:t>授权下属一家支行参与投标（需提供书面授权），地铁集团已在该行开户的，由为集团服务的支行参与投标，原则上不再接受该行其他支行的投标；</w:t>
      </w:r>
    </w:p>
    <w:p>
      <w:pPr>
        <w:keepNext w:val="0"/>
        <w:keepLines w:val="0"/>
        <w:pageBreakBefore w:val="0"/>
        <w:widowControl w:val="0"/>
        <w:suppressAutoHyphens/>
        <w:kinsoku/>
        <w:wordWrap/>
        <w:overflowPunct/>
        <w:topLinePunct/>
        <w:autoSpaceDE/>
        <w:autoSpaceDN/>
        <w:bidi w:val="0"/>
        <w:snapToGrid w:val="0"/>
        <w:spacing w:line="440" w:lineRule="exact"/>
        <w:ind w:firstLine="537" w:firstLineChars="224"/>
        <w:contextualSpacing/>
        <w:rPr>
          <w:rFonts w:ascii="宋体" w:hAnsi="宋体" w:cs="宋体"/>
          <w:color w:val="000000"/>
          <w:sz w:val="24"/>
          <w:szCs w:val="24"/>
        </w:rPr>
      </w:pPr>
      <w:r>
        <w:rPr>
          <w:rFonts w:hint="eastAsia" w:ascii="宋体" w:hAnsi="宋体" w:cs="宋体"/>
          <w:color w:val="000000"/>
          <w:sz w:val="24"/>
          <w:szCs w:val="24"/>
        </w:rPr>
        <w:t>（三）投标人单位需满足近五年（</w:t>
      </w:r>
      <w:r>
        <w:rPr>
          <w:rFonts w:hint="eastAsia" w:ascii="宋体" w:hAnsi="宋体" w:cs="宋体"/>
          <w:bCs/>
          <w:color w:val="000000"/>
          <w:kern w:val="0"/>
          <w:szCs w:val="21"/>
        </w:rPr>
        <w:t>2016年1月1日至今</w:t>
      </w:r>
      <w:r>
        <w:rPr>
          <w:rFonts w:hint="eastAsia" w:ascii="宋体" w:hAnsi="宋体" w:cs="宋体"/>
          <w:color w:val="000000"/>
          <w:sz w:val="24"/>
          <w:szCs w:val="24"/>
        </w:rPr>
        <w:t>），为5个以上（含5个）全国50强房地产开发品牌（全国50强排名参考2016-2020年中指研究院数据）提供过深圳地区项目的按揭贷款服务；</w:t>
      </w:r>
    </w:p>
    <w:p>
      <w:pPr>
        <w:keepNext w:val="0"/>
        <w:keepLines w:val="0"/>
        <w:pageBreakBefore w:val="0"/>
        <w:widowControl w:val="0"/>
        <w:suppressAutoHyphens/>
        <w:kinsoku/>
        <w:wordWrap/>
        <w:overflowPunct/>
        <w:topLinePunct/>
        <w:autoSpaceDE/>
        <w:autoSpaceDN/>
        <w:bidi w:val="0"/>
        <w:snapToGrid w:val="0"/>
        <w:spacing w:line="440" w:lineRule="exact"/>
        <w:ind w:firstLine="600" w:firstLineChars="250"/>
        <w:contextualSpacing/>
        <w:rPr>
          <w:rFonts w:ascii="宋体" w:hAnsi="宋体" w:cs="宋体"/>
          <w:color w:val="000000"/>
          <w:sz w:val="24"/>
          <w:szCs w:val="24"/>
        </w:rPr>
      </w:pPr>
      <w:r>
        <w:rPr>
          <w:rFonts w:hint="eastAsia" w:ascii="宋体" w:hAnsi="宋体" w:cs="宋体"/>
          <w:color w:val="000000"/>
          <w:sz w:val="24"/>
          <w:szCs w:val="24"/>
        </w:rPr>
        <w:t>备注:以上证明材料需提供相关的合同复印件或报告封面及盖章相关页。</w:t>
      </w:r>
    </w:p>
    <w:p>
      <w:pPr>
        <w:keepNext w:val="0"/>
        <w:keepLines w:val="0"/>
        <w:pageBreakBefore w:val="0"/>
        <w:widowControl w:val="0"/>
        <w:suppressAutoHyphens/>
        <w:kinsoku/>
        <w:wordWrap/>
        <w:overflowPunct/>
        <w:topLinePunct/>
        <w:autoSpaceDE/>
        <w:autoSpaceDN/>
        <w:bidi w:val="0"/>
        <w:snapToGrid w:val="0"/>
        <w:spacing w:line="440" w:lineRule="exact"/>
        <w:ind w:firstLine="480" w:firstLineChars="200"/>
        <w:contextualSpacing/>
        <w:rPr>
          <w:rFonts w:ascii="宋体" w:hAnsi="宋体" w:cs="宋体"/>
          <w:color w:val="000000"/>
          <w:sz w:val="24"/>
          <w:szCs w:val="24"/>
        </w:rPr>
      </w:pPr>
      <w:r>
        <w:rPr>
          <w:rFonts w:hint="eastAsia" w:ascii="宋体" w:hAnsi="宋体" w:cs="宋体"/>
          <w:color w:val="000000"/>
          <w:sz w:val="24"/>
          <w:szCs w:val="24"/>
        </w:rPr>
        <w:t>（四）投标人需承诺放款时间不超过15（含）个工作日、办理预抵押时间不超过44（含）个工作日；</w:t>
      </w:r>
    </w:p>
    <w:p>
      <w:pPr>
        <w:keepNext w:val="0"/>
        <w:keepLines w:val="0"/>
        <w:pageBreakBefore w:val="0"/>
        <w:widowControl w:val="0"/>
        <w:suppressAutoHyphens/>
        <w:kinsoku/>
        <w:wordWrap/>
        <w:overflowPunct/>
        <w:topLinePunct/>
        <w:autoSpaceDE/>
        <w:autoSpaceDN/>
        <w:bidi w:val="0"/>
        <w:snapToGrid w:val="0"/>
        <w:spacing w:line="440" w:lineRule="exact"/>
        <w:ind w:left="0" w:leftChars="0" w:firstLine="638" w:firstLineChars="266"/>
        <w:contextualSpacing/>
        <w:rPr>
          <w:rFonts w:ascii="宋体" w:hAnsi="宋体" w:cs="宋体"/>
          <w:color w:val="0D0D0D"/>
          <w:sz w:val="24"/>
          <w:szCs w:val="24"/>
        </w:rPr>
      </w:pPr>
      <w:r>
        <w:rPr>
          <w:rFonts w:hint="eastAsia" w:ascii="宋体" w:hAnsi="宋体" w:cs="宋体"/>
          <w:color w:val="0D0D0D"/>
          <w:sz w:val="24"/>
          <w:szCs w:val="24"/>
        </w:rPr>
        <w:t>（五）投标人存在下列情形之一的，不被接受投标：在招投标（询价）活动（包括在深圳地铁项目）中因串通投标（报价）被暂停投标（报价）资格期间；或涉嫌串通投标（报价）并正在接受主管部门调查的；自截标前三年以来在深圳市地铁集团有限公司及下属单位在招投标过程中、合同履约过程中有不良行为记录，或者有对深圳市地铁集团有限公司声誉造成损害行为的；根据地铁集团或下属单位履约评价管理办法规定，在禁止承接新业务的规定期限内的；正与深圳市地铁集团有限公司及下属单位进行诉讼、仲裁，且在截标之日前未达成和解或纠纷化解的；自截标前三年以来与深圳市地铁集团有限公司及下属单位有过诉讼、仲裁史，且其诉讼请求、仲裁申请没有被法院、仲裁庭支持的；</w:t>
      </w:r>
    </w:p>
    <w:p>
      <w:pPr>
        <w:keepNext w:val="0"/>
        <w:keepLines w:val="0"/>
        <w:pageBreakBefore w:val="0"/>
        <w:widowControl w:val="0"/>
        <w:suppressAutoHyphens/>
        <w:kinsoku/>
        <w:wordWrap/>
        <w:overflowPunct/>
        <w:topLinePunct/>
        <w:autoSpaceDE/>
        <w:autoSpaceDN/>
        <w:bidi w:val="0"/>
        <w:snapToGrid w:val="0"/>
        <w:spacing w:line="440" w:lineRule="exact"/>
        <w:ind w:firstLine="480" w:firstLineChars="200"/>
        <w:contextualSpacing/>
        <w:rPr>
          <w:rFonts w:ascii="宋体" w:hAnsi="宋体" w:cs="宋体"/>
          <w:sz w:val="24"/>
          <w:szCs w:val="24"/>
        </w:rPr>
      </w:pPr>
      <w:r>
        <w:rPr>
          <w:rFonts w:hint="eastAsia" w:ascii="宋体" w:hAnsi="宋体" w:cs="宋体"/>
          <w:sz w:val="24"/>
          <w:szCs w:val="24"/>
        </w:rPr>
        <w:t>（六）不接受联合体投标。</w:t>
      </w:r>
    </w:p>
    <w:p>
      <w:pPr>
        <w:spacing w:line="460" w:lineRule="exact"/>
        <w:ind w:left="69" w:leftChars="33" w:firstLine="429" w:firstLineChars="178"/>
        <w:jc w:val="left"/>
        <w:rPr>
          <w:rFonts w:ascii="宋体" w:hAnsi="宋体"/>
          <w:b/>
          <w:kern w:val="0"/>
          <w:sz w:val="24"/>
          <w:szCs w:val="24"/>
        </w:rPr>
      </w:pPr>
      <w:r>
        <w:rPr>
          <w:rFonts w:hint="eastAsia" w:ascii="宋体" w:hAnsi="宋体"/>
          <w:b/>
          <w:kern w:val="0"/>
          <w:sz w:val="24"/>
          <w:szCs w:val="24"/>
        </w:rPr>
        <w:t>四、招标时间、地点</w:t>
      </w:r>
    </w:p>
    <w:tbl>
      <w:tblPr>
        <w:tblStyle w:val="7"/>
        <w:tblW w:w="88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97"/>
        <w:gridCol w:w="1672"/>
        <w:gridCol w:w="2241"/>
        <w:gridCol w:w="42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9" w:hRule="atLeast"/>
          <w:jc w:val="center"/>
        </w:trPr>
        <w:tc>
          <w:tcPr>
            <w:tcW w:w="697"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3"/>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序号</w:t>
            </w:r>
          </w:p>
        </w:tc>
        <w:tc>
          <w:tcPr>
            <w:tcW w:w="1672"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3"/>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内  容</w:t>
            </w:r>
          </w:p>
        </w:tc>
        <w:tc>
          <w:tcPr>
            <w:tcW w:w="2241"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3"/>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时间安排</w:t>
            </w:r>
          </w:p>
        </w:tc>
        <w:tc>
          <w:tcPr>
            <w:tcW w:w="4280" w:type="dxa"/>
            <w:tcBorders>
              <w:top w:val="single" w:color="auto" w:sz="4" w:space="0"/>
              <w:left w:val="single" w:color="auto" w:sz="4" w:space="0"/>
              <w:bottom w:val="single" w:color="auto" w:sz="4" w:space="0"/>
              <w:right w:val="single" w:color="auto" w:sz="4" w:space="0"/>
            </w:tcBorders>
            <w:shd w:val="clear" w:color="auto" w:fill="7F7F7F" w:themeFill="background1" w:themeFillShade="80"/>
          </w:tcPr>
          <w:p>
            <w:pPr>
              <w:pStyle w:val="3"/>
              <w:adjustRightInd w:val="0"/>
              <w:snapToGrid w:val="0"/>
              <w:spacing w:line="240" w:lineRule="auto"/>
              <w:ind w:left="0" w:leftChars="0" w:firstLine="0" w:firstLineChars="0"/>
              <w:jc w:val="center"/>
              <w:rPr>
                <w:rFonts w:ascii="楷体" w:hAnsi="楷体" w:eastAsia="楷体"/>
                <w:bCs/>
                <w:color w:val="FFFFFF" w:themeColor="background1"/>
                <w:kern w:val="2"/>
                <w:sz w:val="24"/>
                <w:szCs w:val="24"/>
                <w14:textFill>
                  <w14:solidFill>
                    <w14:schemeClr w14:val="bg1"/>
                  </w14:solidFill>
                </w14:textFill>
              </w:rPr>
            </w:pPr>
            <w:r>
              <w:rPr>
                <w:rFonts w:hint="eastAsia" w:ascii="楷体" w:hAnsi="楷体" w:eastAsia="楷体"/>
                <w:bCs/>
                <w:color w:val="FFFFFF" w:themeColor="background1"/>
                <w:kern w:val="2"/>
                <w:sz w:val="24"/>
                <w:szCs w:val="24"/>
                <w14:textFill>
                  <w14:solidFill>
                    <w14:schemeClr w14:val="bg1"/>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6"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1</w:t>
            </w:r>
          </w:p>
        </w:tc>
        <w:tc>
          <w:tcPr>
            <w:tcW w:w="167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发布招标公告</w:t>
            </w:r>
          </w:p>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（发标）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6月</w:t>
            </w:r>
            <w:r>
              <w:rPr>
                <w:rFonts w:hint="eastAsia" w:ascii="楷体" w:hAnsi="楷体" w:eastAsia="楷体"/>
                <w:bCs/>
                <w:sz w:val="24"/>
                <w:szCs w:val="24"/>
                <w:lang w:val="en-US" w:eastAsia="zh-CN"/>
              </w:rPr>
              <w:t>29</w:t>
            </w:r>
            <w:r>
              <w:rPr>
                <w:rFonts w:ascii="楷体" w:hAnsi="楷体" w:eastAsia="楷体"/>
                <w:bCs/>
                <w:sz w:val="24"/>
                <w:szCs w:val="24"/>
              </w:rPr>
              <w:t>日</w:t>
            </w:r>
          </w:p>
        </w:tc>
        <w:tc>
          <w:tcPr>
            <w:tcW w:w="428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ascii="楷体" w:hAnsi="楷体" w:eastAsia="楷体"/>
                <w:bCs/>
                <w:kern w:val="2"/>
                <w:sz w:val="24"/>
                <w:szCs w:val="24"/>
              </w:rPr>
            </w:pPr>
            <w:r>
              <w:rPr>
                <w:rFonts w:hint="eastAsia" w:ascii="楷体" w:hAnsi="楷体" w:eastAsia="楷体"/>
                <w:bCs/>
                <w:kern w:val="2"/>
                <w:sz w:val="24"/>
                <w:szCs w:val="24"/>
              </w:rPr>
              <w:t>深圳市地铁集团有限公司外网</w:t>
            </w:r>
            <w:r>
              <w:rPr>
                <w:rFonts w:hint="eastAsia" w:ascii="仿宋_GB2312" w:eastAsia="仿宋_GB2312"/>
                <w:color w:val="000000"/>
                <w:sz w:val="24"/>
                <w:szCs w:val="24"/>
              </w:rPr>
              <w:t>、</w:t>
            </w:r>
            <w:r>
              <w:rPr>
                <w:rFonts w:hint="eastAsia" w:ascii="楷体" w:hAnsi="楷体" w:eastAsia="楷体"/>
                <w:bCs/>
                <w:kern w:val="2"/>
                <w:sz w:val="24"/>
                <w:szCs w:val="24"/>
              </w:rPr>
              <w:t>深圳</w:t>
            </w:r>
            <w:r>
              <w:rPr>
                <w:rFonts w:ascii="楷体" w:hAnsi="楷体" w:eastAsia="楷体"/>
                <w:bCs/>
                <w:kern w:val="2"/>
                <w:sz w:val="24"/>
                <w:szCs w:val="24"/>
              </w:rPr>
              <w:t>阳光采购平台</w:t>
            </w:r>
            <w:r>
              <w:rPr>
                <w:rFonts w:hint="eastAsia" w:ascii="楷体" w:hAnsi="楷体" w:eastAsia="楷体"/>
                <w:bCs/>
                <w:kern w:val="2"/>
                <w:sz w:val="24"/>
                <w:szCs w:val="24"/>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2</w:t>
            </w:r>
          </w:p>
        </w:tc>
        <w:tc>
          <w:tcPr>
            <w:tcW w:w="167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截</w:t>
            </w:r>
            <w:r>
              <w:rPr>
                <w:rFonts w:hint="eastAsia" w:ascii="楷体" w:hAnsi="楷体" w:eastAsia="楷体"/>
                <w:bCs/>
                <w:kern w:val="2"/>
                <w:sz w:val="24"/>
                <w:szCs w:val="24"/>
              </w:rPr>
              <w:t>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7月</w:t>
            </w:r>
            <w:r>
              <w:rPr>
                <w:rFonts w:hint="eastAsia" w:ascii="楷体" w:hAnsi="楷体" w:eastAsia="楷体"/>
                <w:bCs/>
                <w:sz w:val="24"/>
                <w:szCs w:val="24"/>
                <w:lang w:val="en-US" w:eastAsia="zh-CN"/>
              </w:rPr>
              <w:t>20</w:t>
            </w:r>
            <w:r>
              <w:rPr>
                <w:rFonts w:ascii="楷体" w:hAnsi="楷体" w:eastAsia="楷体"/>
                <w:bCs/>
                <w:sz w:val="24"/>
                <w:szCs w:val="24"/>
              </w:rPr>
              <w:t>日</w:t>
            </w:r>
            <w:r>
              <w:rPr>
                <w:rFonts w:hint="eastAsia" w:ascii="楷体" w:hAnsi="楷体" w:eastAsia="楷体"/>
                <w:bCs/>
                <w:sz w:val="24"/>
                <w:szCs w:val="24"/>
              </w:rPr>
              <w:t>上午</w:t>
            </w:r>
            <w:r>
              <w:rPr>
                <w:rFonts w:hint="eastAsia" w:ascii="楷体" w:hAnsi="楷体" w:eastAsia="楷体"/>
                <w:bCs/>
                <w:sz w:val="24"/>
                <w:szCs w:val="24"/>
                <w:lang w:val="en-US" w:eastAsia="zh-CN"/>
              </w:rPr>
              <w:t>10</w:t>
            </w:r>
            <w:r>
              <w:rPr>
                <w:rFonts w:hint="eastAsia" w:ascii="楷体" w:hAnsi="楷体" w:eastAsia="楷体"/>
                <w:bCs/>
                <w:sz w:val="24"/>
                <w:szCs w:val="24"/>
              </w:rPr>
              <w:t>:</w:t>
            </w:r>
            <w:r>
              <w:rPr>
                <w:rFonts w:hint="eastAsia" w:ascii="楷体" w:hAnsi="楷体" w:eastAsia="楷体"/>
                <w:bCs/>
                <w:sz w:val="24"/>
                <w:szCs w:val="24"/>
                <w:lang w:val="en-US" w:eastAsia="zh-CN"/>
              </w:rPr>
              <w:t>0</w:t>
            </w:r>
            <w:r>
              <w:rPr>
                <w:rFonts w:hint="eastAsia" w:ascii="楷体" w:hAnsi="楷体" w:eastAsia="楷体"/>
                <w:bCs/>
                <w:sz w:val="24"/>
                <w:szCs w:val="24"/>
              </w:rPr>
              <w:t>0</w:t>
            </w:r>
          </w:p>
        </w:tc>
        <w:tc>
          <w:tcPr>
            <w:tcW w:w="428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楷体" w:hAnsi="楷体" w:eastAsia="楷体"/>
                <w:bCs/>
                <w:kern w:val="2"/>
                <w:sz w:val="24"/>
                <w:szCs w:val="24"/>
              </w:rPr>
            </w:pPr>
            <w:r>
              <w:rPr>
                <w:rFonts w:hint="eastAsia" w:ascii="楷体" w:hAnsi="楷体" w:eastAsia="楷体"/>
                <w:bCs/>
                <w:kern w:val="2"/>
                <w:sz w:val="24"/>
                <w:szCs w:val="24"/>
              </w:rPr>
              <w:t>投标</w:t>
            </w:r>
            <w:r>
              <w:rPr>
                <w:rFonts w:ascii="楷体" w:hAnsi="楷体" w:eastAsia="楷体"/>
                <w:bCs/>
                <w:kern w:val="2"/>
                <w:sz w:val="24"/>
                <w:szCs w:val="24"/>
              </w:rPr>
              <w:t>文件递交</w:t>
            </w:r>
            <w:r>
              <w:rPr>
                <w:rFonts w:hint="eastAsia" w:ascii="楷体" w:hAnsi="楷体" w:eastAsia="楷体"/>
                <w:bCs/>
                <w:kern w:val="2"/>
                <w:sz w:val="24"/>
                <w:szCs w:val="24"/>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hint="eastAsia" w:ascii="楷体" w:hAnsi="楷体" w:eastAsia="楷体"/>
                <w:bCs/>
                <w:kern w:val="2"/>
                <w:sz w:val="24"/>
                <w:szCs w:val="24"/>
              </w:rPr>
              <w:t>3</w:t>
            </w:r>
          </w:p>
        </w:tc>
        <w:tc>
          <w:tcPr>
            <w:tcW w:w="1672"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楷体" w:hAnsi="楷体" w:eastAsia="楷体"/>
                <w:bCs/>
                <w:kern w:val="2"/>
                <w:sz w:val="24"/>
                <w:szCs w:val="24"/>
              </w:rPr>
            </w:pPr>
            <w:r>
              <w:rPr>
                <w:rFonts w:ascii="楷体" w:hAnsi="楷体" w:eastAsia="楷体"/>
                <w:bCs/>
                <w:kern w:val="2"/>
                <w:sz w:val="24"/>
                <w:szCs w:val="24"/>
              </w:rPr>
              <w:t>开标</w:t>
            </w:r>
          </w:p>
        </w:tc>
        <w:tc>
          <w:tcPr>
            <w:tcW w:w="224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楷体" w:hAnsi="楷体" w:eastAsia="楷体"/>
                <w:bCs/>
                <w:sz w:val="24"/>
                <w:szCs w:val="24"/>
              </w:rPr>
            </w:pPr>
            <w:r>
              <w:rPr>
                <w:rFonts w:hint="eastAsia" w:ascii="楷体" w:hAnsi="楷体" w:eastAsia="楷体"/>
                <w:bCs/>
                <w:sz w:val="24"/>
                <w:szCs w:val="24"/>
              </w:rPr>
              <w:t>7月</w:t>
            </w:r>
            <w:r>
              <w:rPr>
                <w:rFonts w:hint="eastAsia" w:ascii="楷体" w:hAnsi="楷体" w:eastAsia="楷体"/>
                <w:bCs/>
                <w:sz w:val="24"/>
                <w:szCs w:val="24"/>
                <w:lang w:val="en-US" w:eastAsia="zh-CN"/>
              </w:rPr>
              <w:t>20</w:t>
            </w:r>
            <w:r>
              <w:rPr>
                <w:rFonts w:hint="eastAsia" w:ascii="楷体" w:hAnsi="楷体" w:eastAsia="楷体"/>
                <w:bCs/>
                <w:sz w:val="24"/>
                <w:szCs w:val="24"/>
              </w:rPr>
              <w:t>日上午</w:t>
            </w:r>
            <w:r>
              <w:rPr>
                <w:rFonts w:hint="eastAsia" w:ascii="楷体" w:hAnsi="楷体" w:eastAsia="楷体"/>
                <w:bCs/>
                <w:sz w:val="24"/>
                <w:szCs w:val="24"/>
                <w:lang w:val="en-US" w:eastAsia="zh-CN"/>
              </w:rPr>
              <w:t>10</w:t>
            </w:r>
            <w:r>
              <w:rPr>
                <w:rFonts w:hint="eastAsia" w:ascii="楷体" w:hAnsi="楷体" w:eastAsia="楷体"/>
                <w:bCs/>
                <w:sz w:val="24"/>
                <w:szCs w:val="24"/>
              </w:rPr>
              <w:t>:</w:t>
            </w:r>
            <w:r>
              <w:rPr>
                <w:rFonts w:hint="eastAsia" w:ascii="楷体" w:hAnsi="楷体" w:eastAsia="楷体"/>
                <w:bCs/>
                <w:sz w:val="24"/>
                <w:szCs w:val="24"/>
                <w:lang w:val="en-US" w:eastAsia="zh-CN"/>
              </w:rPr>
              <w:t>0</w:t>
            </w:r>
            <w:r>
              <w:rPr>
                <w:rFonts w:hint="eastAsia" w:ascii="楷体" w:hAnsi="楷体" w:eastAsia="楷体"/>
                <w:bCs/>
                <w:sz w:val="24"/>
                <w:szCs w:val="24"/>
              </w:rPr>
              <w:t>0</w:t>
            </w:r>
          </w:p>
        </w:tc>
        <w:tc>
          <w:tcPr>
            <w:tcW w:w="4280"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楷体" w:hAnsi="楷体" w:eastAsia="楷体"/>
                <w:bCs/>
                <w:kern w:val="2"/>
                <w:sz w:val="24"/>
                <w:szCs w:val="24"/>
              </w:rPr>
            </w:pPr>
            <w:r>
              <w:rPr>
                <w:rFonts w:hint="eastAsia" w:ascii="楷体" w:hAnsi="楷体" w:eastAsia="楷体"/>
                <w:bCs/>
                <w:kern w:val="2"/>
                <w:sz w:val="24"/>
                <w:szCs w:val="24"/>
              </w:rPr>
              <w:t>开标地点：地铁大厦会议室</w:t>
            </w:r>
          </w:p>
        </w:tc>
      </w:tr>
    </w:tbl>
    <w:p>
      <w:pPr>
        <w:pStyle w:val="4"/>
        <w:keepNext w:val="0"/>
        <w:keepLines w:val="0"/>
        <w:pageBreakBefore w:val="0"/>
        <w:widowControl w:val="0"/>
        <w:kinsoku/>
        <w:overflowPunct/>
        <w:topLinePunct w:val="0"/>
        <w:autoSpaceDE/>
        <w:autoSpaceDN/>
        <w:bidi w:val="0"/>
        <w:snapToGrid/>
        <w:spacing w:line="440" w:lineRule="exact"/>
        <w:ind w:firstLine="482" w:firstLineChars="200"/>
        <w:rPr>
          <w:rFonts w:hAnsi="宋体"/>
          <w:b/>
          <w:sz w:val="24"/>
          <w:szCs w:val="24"/>
          <w:lang w:val="zh-CN"/>
        </w:rPr>
      </w:pPr>
      <w:bookmarkStart w:id="5" w:name="_Toc13851"/>
      <w:bookmarkStart w:id="6" w:name="_Toc57731950"/>
      <w:r>
        <w:rPr>
          <w:rFonts w:hint="eastAsia" w:hAnsi="宋体"/>
          <w:b/>
          <w:sz w:val="24"/>
          <w:szCs w:val="24"/>
          <w:lang w:val="zh-CN"/>
        </w:rPr>
        <w:t>五、投标所需材料</w:t>
      </w:r>
      <w:bookmarkEnd w:id="5"/>
      <w:bookmarkEnd w:id="6"/>
    </w:p>
    <w:p>
      <w:pPr>
        <w:keepNext w:val="0"/>
        <w:keepLines w:val="0"/>
        <w:pageBreakBefore w:val="0"/>
        <w:widowControl w:val="0"/>
        <w:kinsoku/>
        <w:overflowPunct/>
        <w:topLinePunct w:val="0"/>
        <w:autoSpaceDE/>
        <w:autoSpaceDN/>
        <w:bidi w:val="0"/>
        <w:snapToGrid/>
        <w:spacing w:line="440" w:lineRule="exact"/>
        <w:ind w:firstLine="480" w:firstLineChars="200"/>
        <w:rPr>
          <w:rFonts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lang w:val="en-US" w:eastAsia="zh-CN"/>
        </w:rPr>
        <w:t>一）</w:t>
      </w:r>
      <w:r>
        <w:rPr>
          <w:rFonts w:hint="eastAsia" w:ascii="宋体" w:hAnsi="宋体"/>
          <w:kern w:val="0"/>
          <w:sz w:val="24"/>
          <w:szCs w:val="24"/>
        </w:rPr>
        <w:t>根据招标</w:t>
      </w:r>
      <w:r>
        <w:rPr>
          <w:rFonts w:ascii="宋体" w:hAnsi="宋体"/>
          <w:kern w:val="0"/>
          <w:sz w:val="24"/>
          <w:szCs w:val="24"/>
        </w:rPr>
        <w:t>文件编制的</w:t>
      </w:r>
      <w:r>
        <w:rPr>
          <w:rFonts w:hint="eastAsia" w:ascii="宋体" w:hAnsi="宋体"/>
          <w:kern w:val="0"/>
          <w:sz w:val="24"/>
          <w:szCs w:val="24"/>
        </w:rPr>
        <w:t>投标</w:t>
      </w:r>
      <w:r>
        <w:rPr>
          <w:rFonts w:ascii="宋体" w:hAnsi="宋体"/>
          <w:kern w:val="0"/>
          <w:sz w:val="24"/>
          <w:szCs w:val="24"/>
        </w:rPr>
        <w:t>文件</w:t>
      </w:r>
      <w:r>
        <w:rPr>
          <w:rFonts w:hint="eastAsia" w:ascii="宋体" w:hAnsi="宋体"/>
          <w:kern w:val="0"/>
          <w:sz w:val="24"/>
          <w:szCs w:val="24"/>
        </w:rPr>
        <w:t>；</w:t>
      </w:r>
    </w:p>
    <w:p>
      <w:pPr>
        <w:keepNext w:val="0"/>
        <w:keepLines w:val="0"/>
        <w:pageBreakBefore w:val="0"/>
        <w:widowControl w:val="0"/>
        <w:kinsoku/>
        <w:overflowPunct/>
        <w:topLinePunct w:val="0"/>
        <w:autoSpaceDE/>
        <w:autoSpaceDN/>
        <w:bidi w:val="0"/>
        <w:snapToGrid/>
        <w:spacing w:line="440" w:lineRule="exact"/>
        <w:ind w:firstLine="480" w:firstLineChars="200"/>
        <w:rPr>
          <w:rFonts w:hint="eastAsia" w:ascii="宋体" w:hAnsi="宋体"/>
          <w:kern w:val="0"/>
          <w:sz w:val="24"/>
          <w:szCs w:val="24"/>
        </w:rPr>
      </w:pPr>
      <w:r>
        <w:rPr>
          <w:rFonts w:hint="eastAsia" w:ascii="宋体" w:hAnsi="宋体"/>
          <w:kern w:val="0"/>
          <w:sz w:val="24"/>
          <w:szCs w:val="24"/>
          <w:lang w:eastAsia="zh-CN"/>
        </w:rPr>
        <w:t>（</w:t>
      </w:r>
      <w:r>
        <w:rPr>
          <w:rFonts w:hint="eastAsia" w:ascii="宋体" w:hAnsi="宋体"/>
          <w:kern w:val="0"/>
          <w:sz w:val="24"/>
          <w:szCs w:val="24"/>
          <w:lang w:val="en-US" w:eastAsia="zh-CN"/>
        </w:rPr>
        <w:t>二）</w:t>
      </w:r>
      <w:r>
        <w:rPr>
          <w:rFonts w:hint="eastAsia" w:ascii="宋体" w:hAnsi="宋体"/>
          <w:kern w:val="0"/>
          <w:sz w:val="24"/>
          <w:szCs w:val="24"/>
        </w:rPr>
        <w:t>如递交投标文件的投标人为投标单位的法定代表人，须携带法定代表人证明书及本人身份证原件和复印件；如递交投标文件的投标人不是法定代表人（负责人），除携带本人身份证复印件外，还需携带法定代表人（负责人）证明书和法定代表人（负责人）身份证复印件及授权委托书。</w:t>
      </w:r>
    </w:p>
    <w:p>
      <w:pPr>
        <w:pStyle w:val="4"/>
        <w:keepNext w:val="0"/>
        <w:keepLines w:val="0"/>
        <w:pageBreakBefore w:val="0"/>
        <w:widowControl w:val="0"/>
        <w:kinsoku/>
        <w:overflowPunct/>
        <w:topLinePunct w:val="0"/>
        <w:autoSpaceDE/>
        <w:autoSpaceDN/>
        <w:bidi w:val="0"/>
        <w:snapToGrid/>
        <w:spacing w:line="440" w:lineRule="exact"/>
        <w:ind w:firstLine="482" w:firstLineChars="200"/>
        <w:rPr>
          <w:rFonts w:hAnsi="宋体"/>
          <w:b/>
          <w:sz w:val="24"/>
          <w:szCs w:val="24"/>
          <w:lang w:val="zh-CN"/>
        </w:rPr>
      </w:pPr>
      <w:bookmarkStart w:id="7" w:name="_Toc7673"/>
      <w:r>
        <w:rPr>
          <w:rFonts w:hint="eastAsia" w:hAnsi="宋体"/>
          <w:b/>
          <w:sz w:val="24"/>
          <w:szCs w:val="24"/>
          <w:lang w:val="zh-CN"/>
        </w:rPr>
        <w:t>六、投标联系人</w:t>
      </w:r>
      <w:bookmarkEnd w:id="7"/>
    </w:p>
    <w:p>
      <w:pPr>
        <w:pStyle w:val="4"/>
        <w:keepNext w:val="0"/>
        <w:keepLines w:val="0"/>
        <w:pageBreakBefore w:val="0"/>
        <w:widowControl w:val="0"/>
        <w:kinsoku/>
        <w:overflowPunct/>
        <w:topLinePunct w:val="0"/>
        <w:autoSpaceDE/>
        <w:autoSpaceDN/>
        <w:bidi w:val="0"/>
        <w:snapToGrid/>
        <w:spacing w:line="440" w:lineRule="exact"/>
        <w:ind w:firstLine="480" w:firstLineChars="200"/>
        <w:rPr>
          <w:rFonts w:hint="eastAsia" w:hAnsi="宋体"/>
          <w:sz w:val="24"/>
          <w:lang w:val="en-US" w:eastAsia="zh-CN"/>
        </w:rPr>
      </w:pPr>
      <w:r>
        <w:rPr>
          <w:rFonts w:hint="eastAsia" w:hAnsi="宋体"/>
          <w:sz w:val="24"/>
          <w:szCs w:val="24"/>
        </w:rPr>
        <w:t>联系人：</w:t>
      </w:r>
      <w:r>
        <w:rPr>
          <w:rFonts w:hint="eastAsia" w:hAnsi="宋体"/>
          <w:sz w:val="24"/>
        </w:rPr>
        <w:t>周</w:t>
      </w:r>
      <w:r>
        <w:rPr>
          <w:rFonts w:hint="eastAsia" w:hAnsi="宋体"/>
          <w:sz w:val="24"/>
          <w:lang w:val="en-US" w:eastAsia="zh-CN"/>
        </w:rPr>
        <w:t xml:space="preserve">工   </w:t>
      </w:r>
    </w:p>
    <w:p>
      <w:pPr>
        <w:pStyle w:val="4"/>
        <w:keepNext w:val="0"/>
        <w:keepLines w:val="0"/>
        <w:pageBreakBefore w:val="0"/>
        <w:widowControl w:val="0"/>
        <w:kinsoku/>
        <w:overflowPunct/>
        <w:topLinePunct w:val="0"/>
        <w:autoSpaceDE/>
        <w:autoSpaceDN/>
        <w:bidi w:val="0"/>
        <w:snapToGrid/>
        <w:spacing w:line="440" w:lineRule="exact"/>
        <w:ind w:firstLine="480" w:firstLineChars="200"/>
        <w:rPr>
          <w:rFonts w:hAnsi="宋体"/>
          <w:sz w:val="24"/>
          <w:szCs w:val="24"/>
        </w:rPr>
      </w:pPr>
      <w:r>
        <w:rPr>
          <w:rFonts w:hint="eastAsia" w:hAnsi="宋体"/>
          <w:sz w:val="24"/>
          <w:szCs w:val="24"/>
        </w:rPr>
        <w:t>联系电话：</w:t>
      </w:r>
      <w:r>
        <w:rPr>
          <w:rFonts w:hAnsi="宋体"/>
          <w:sz w:val="24"/>
          <w:szCs w:val="24"/>
        </w:rPr>
        <w:t>23882573</w:t>
      </w:r>
    </w:p>
    <w:p>
      <w:pPr>
        <w:pStyle w:val="4"/>
        <w:keepNext w:val="0"/>
        <w:keepLines w:val="0"/>
        <w:pageBreakBefore w:val="0"/>
        <w:widowControl w:val="0"/>
        <w:kinsoku/>
        <w:overflowPunct/>
        <w:topLinePunct w:val="0"/>
        <w:autoSpaceDE/>
        <w:autoSpaceDN/>
        <w:bidi w:val="0"/>
        <w:snapToGrid/>
        <w:spacing w:line="440" w:lineRule="exact"/>
        <w:ind w:firstLine="480" w:firstLineChars="200"/>
        <w:jc w:val="right"/>
        <w:rPr>
          <w:rFonts w:hAnsi="宋体"/>
          <w:sz w:val="24"/>
          <w:szCs w:val="24"/>
        </w:rPr>
      </w:pPr>
    </w:p>
    <w:p>
      <w:pPr>
        <w:pStyle w:val="4"/>
        <w:keepNext w:val="0"/>
        <w:keepLines w:val="0"/>
        <w:pageBreakBefore w:val="0"/>
        <w:widowControl w:val="0"/>
        <w:kinsoku/>
        <w:overflowPunct/>
        <w:topLinePunct w:val="0"/>
        <w:autoSpaceDE/>
        <w:autoSpaceDN/>
        <w:bidi w:val="0"/>
        <w:snapToGrid/>
        <w:spacing w:line="440" w:lineRule="exact"/>
        <w:ind w:firstLine="480" w:firstLineChars="200"/>
        <w:jc w:val="center"/>
        <w:rPr>
          <w:rFonts w:hAnsi="宋体"/>
          <w:sz w:val="24"/>
          <w:szCs w:val="24"/>
        </w:rPr>
      </w:pPr>
      <w:r>
        <w:rPr>
          <w:rFonts w:hint="eastAsia" w:hAnsi="宋体"/>
          <w:sz w:val="24"/>
          <w:szCs w:val="24"/>
          <w:lang w:val="en-US" w:eastAsia="zh-CN"/>
        </w:rPr>
        <w:t xml:space="preserve">                                                       </w:t>
      </w:r>
      <w:r>
        <w:rPr>
          <w:rFonts w:hint="eastAsia" w:hAnsi="宋体"/>
          <w:sz w:val="24"/>
          <w:szCs w:val="24"/>
        </w:rPr>
        <w:t>深圳市地铁集团有限公司</w:t>
      </w:r>
    </w:p>
    <w:p>
      <w:pPr>
        <w:pStyle w:val="4"/>
        <w:keepNext w:val="0"/>
        <w:keepLines w:val="0"/>
        <w:pageBreakBefore w:val="0"/>
        <w:widowControl w:val="0"/>
        <w:kinsoku/>
        <w:wordWrap w:val="0"/>
        <w:overflowPunct/>
        <w:topLinePunct w:val="0"/>
        <w:autoSpaceDE/>
        <w:autoSpaceDN/>
        <w:bidi w:val="0"/>
        <w:snapToGrid/>
        <w:spacing w:line="440" w:lineRule="exact"/>
        <w:ind w:firstLine="480" w:firstLineChars="200"/>
        <w:jc w:val="right"/>
        <w:rPr>
          <w:rFonts w:hint="eastAsia" w:ascii="宋体" w:hAnsi="宋体"/>
          <w:b w:val="0"/>
          <w:kern w:val="44"/>
          <w:sz w:val="44"/>
          <w:szCs w:val="44"/>
        </w:rPr>
      </w:pPr>
      <w:r>
        <w:rPr>
          <w:rFonts w:hint="eastAsia" w:hAnsi="宋体" w:cs="宋体"/>
          <w:sz w:val="24"/>
          <w:szCs w:val="24"/>
        </w:rPr>
        <w:t>     </w:t>
      </w:r>
      <w:r>
        <w:rPr>
          <w:rFonts w:hint="eastAsia" w:hAnsi="宋体"/>
          <w:sz w:val="24"/>
          <w:szCs w:val="24"/>
        </w:rPr>
        <w:t>二○二一年六月</w:t>
      </w:r>
      <w:r>
        <w:rPr>
          <w:rFonts w:hint="eastAsia" w:hAnsi="宋体"/>
          <w:sz w:val="24"/>
          <w:szCs w:val="24"/>
          <w:lang w:val="en-US" w:eastAsia="zh-CN"/>
        </w:rPr>
        <w:t>二十九</w:t>
      </w:r>
      <w:r>
        <w:rPr>
          <w:rFonts w:hint="eastAsia" w:hAnsi="宋体"/>
          <w:sz w:val="24"/>
          <w:szCs w:val="24"/>
        </w:rPr>
        <w:t>日</w:t>
      </w:r>
      <w:bookmarkStart w:id="8" w:name="_GoBack"/>
      <w:bookmarkEnd w:id="8"/>
    </w:p>
    <w:bookmarkEnd w:id="4"/>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6001B4"/>
    <w:rsid w:val="041D02BD"/>
    <w:rsid w:val="13DD5690"/>
    <w:rsid w:val="34F368A9"/>
    <w:rsid w:val="352B409F"/>
    <w:rsid w:val="35CC7AF9"/>
    <w:rsid w:val="35DB3EEF"/>
    <w:rsid w:val="47776884"/>
    <w:rsid w:val="4A6001B4"/>
    <w:rsid w:val="4D1E3643"/>
    <w:rsid w:val="66C2449E"/>
    <w:rsid w:val="759B7565"/>
    <w:rsid w:val="7C533A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rFonts w:ascii="Times New Roman" w:hAnsi="Times New Roman"/>
      <w:kern w:val="0"/>
      <w:sz w:val="20"/>
      <w:szCs w:val="20"/>
    </w:rPr>
  </w:style>
  <w:style w:type="paragraph" w:styleId="4">
    <w:name w:val="Plain Text"/>
    <w:basedOn w:val="1"/>
    <w:qFormat/>
    <w:uiPriority w:val="0"/>
    <w:pPr>
      <w:adjustRightInd w:val="0"/>
      <w:spacing w:line="312" w:lineRule="atLeast"/>
      <w:textAlignment w:val="baseline"/>
    </w:pPr>
    <w:rPr>
      <w:rFonts w:ascii="宋体" w:hAnsi="Courier New"/>
      <w:kern w:val="0"/>
      <w:sz w:val="20"/>
      <w:szCs w:val="20"/>
    </w:rPr>
  </w:style>
  <w:style w:type="paragraph" w:styleId="5">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2021-05-11T10:36:00Z</dcterms:created>
  <dc:creator>Administrator</dc:creator>
  <cp:lastModifiedBy>NTKO</cp:lastModifiedBy>
  <dcterms:modified xsi:type="dcterms:W3CDTF">2021-06-28T09:55:25Z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