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left="0" w:firstLine="0"/>
        <w:jc w:val="center"/>
        <w:rPr>
          <w:rFonts w:ascii="宋体" w:hAnsi="宋体"/>
          <w:b w:val="0"/>
          <w:kern w:val="44"/>
          <w:sz w:val="44"/>
          <w:szCs w:val="44"/>
        </w:rPr>
      </w:pPr>
      <w:bookmarkStart w:id="0" w:name="_Toc434234570"/>
      <w:r>
        <w:rPr>
          <w:rFonts w:hint="eastAsia" w:ascii="宋体" w:hAnsi="宋体"/>
          <w:b w:val="0"/>
          <w:kern w:val="44"/>
          <w:sz w:val="44"/>
          <w:szCs w:val="44"/>
          <w:lang w:val="en-US" w:eastAsia="zh-CN"/>
        </w:rPr>
        <w:t>比选</w:t>
      </w:r>
      <w:r>
        <w:rPr>
          <w:rFonts w:hint="eastAsia" w:ascii="宋体" w:hAnsi="宋体"/>
          <w:b w:val="0"/>
          <w:kern w:val="44"/>
          <w:sz w:val="44"/>
          <w:szCs w:val="44"/>
        </w:rPr>
        <w:t>公告</w:t>
      </w:r>
      <w:bookmarkEnd w:id="0"/>
    </w:p>
    <w:p>
      <w:pPr>
        <w:pStyle w:val="4"/>
        <w:spacing w:line="360" w:lineRule="auto"/>
        <w:ind w:firstLine="480" w:firstLineChars="200"/>
        <w:jc w:val="left"/>
        <w:rPr>
          <w:rFonts w:hAnsi="宋体"/>
          <w:sz w:val="24"/>
          <w:szCs w:val="24"/>
        </w:rPr>
      </w:pPr>
      <w:r>
        <w:rPr>
          <w:rFonts w:hint="eastAsia" w:hAnsi="宋体"/>
          <w:sz w:val="24"/>
          <w:szCs w:val="24"/>
        </w:rPr>
        <w:t>深圳地铁置业集团有限公司拟对</w:t>
      </w:r>
      <w:r>
        <w:rPr>
          <w:rFonts w:hint="eastAsia" w:hAnsi="宋体"/>
          <w:b/>
          <w:bCs/>
          <w:sz w:val="24"/>
          <w:szCs w:val="22"/>
          <w:u w:val="single"/>
        </w:rPr>
        <w:t>深铁置业成本管理系统升级改造项目</w:t>
      </w:r>
      <w:r>
        <w:rPr>
          <w:rFonts w:hint="eastAsia" w:hAnsi="宋体"/>
          <w:sz w:val="24"/>
          <w:szCs w:val="24"/>
        </w:rPr>
        <w:t>进行公开</w:t>
      </w:r>
      <w:r>
        <w:rPr>
          <w:rFonts w:hint="eastAsia" w:hAnsi="宋体"/>
          <w:sz w:val="24"/>
          <w:szCs w:val="24"/>
          <w:lang w:val="en-US" w:eastAsia="zh-CN"/>
        </w:rPr>
        <w:t>比选</w:t>
      </w:r>
      <w:r>
        <w:rPr>
          <w:rFonts w:hint="eastAsia" w:hAnsi="宋体"/>
          <w:sz w:val="24"/>
          <w:szCs w:val="24"/>
        </w:rPr>
        <w:t>，欢迎符合本</w:t>
      </w:r>
      <w:r>
        <w:rPr>
          <w:rFonts w:hint="eastAsia" w:hAnsi="宋体"/>
          <w:sz w:val="24"/>
          <w:szCs w:val="24"/>
          <w:lang w:val="en-US" w:eastAsia="zh-CN"/>
        </w:rPr>
        <w:t>比选</w:t>
      </w:r>
      <w:r>
        <w:rPr>
          <w:rFonts w:hint="eastAsia" w:hAnsi="宋体"/>
          <w:sz w:val="24"/>
          <w:szCs w:val="24"/>
        </w:rPr>
        <w:t>公告公布资质要求的单位</w:t>
      </w:r>
      <w:bookmarkStart w:id="5" w:name="_GoBack"/>
      <w:bookmarkEnd w:id="5"/>
      <w:r>
        <w:rPr>
          <w:rFonts w:hint="eastAsia" w:hAnsi="宋体"/>
          <w:sz w:val="24"/>
          <w:szCs w:val="24"/>
        </w:rPr>
        <w:t>参加</w:t>
      </w:r>
      <w:r>
        <w:rPr>
          <w:rFonts w:hint="eastAsia" w:hAnsi="宋体"/>
          <w:sz w:val="24"/>
          <w:szCs w:val="24"/>
          <w:lang w:val="en-US" w:eastAsia="zh-CN"/>
        </w:rPr>
        <w:t>比选</w:t>
      </w:r>
      <w:r>
        <w:rPr>
          <w:rFonts w:hint="eastAsia" w:hAnsi="宋体"/>
          <w:sz w:val="24"/>
          <w:szCs w:val="24"/>
        </w:rPr>
        <w:t>。</w:t>
      </w:r>
    </w:p>
    <w:p>
      <w:pPr>
        <w:pStyle w:val="4"/>
        <w:spacing w:line="360" w:lineRule="auto"/>
        <w:ind w:firstLine="482" w:firstLineChars="200"/>
        <w:rPr>
          <w:rFonts w:hAnsi="宋体"/>
          <w:b/>
          <w:sz w:val="24"/>
          <w:szCs w:val="24"/>
        </w:rPr>
      </w:pPr>
      <w:r>
        <w:rPr>
          <w:rFonts w:hint="eastAsia" w:hAnsi="宋体"/>
          <w:b/>
          <w:sz w:val="24"/>
          <w:szCs w:val="24"/>
        </w:rPr>
        <w:t>一、项目名称</w:t>
      </w:r>
    </w:p>
    <w:p>
      <w:pPr>
        <w:pStyle w:val="4"/>
        <w:spacing w:line="360" w:lineRule="auto"/>
        <w:ind w:firstLine="482" w:firstLineChars="200"/>
        <w:rPr>
          <w:rFonts w:hint="eastAsia" w:hAnsi="宋体"/>
          <w:b/>
          <w:bCs/>
          <w:sz w:val="24"/>
          <w:szCs w:val="22"/>
          <w:u w:val="single"/>
        </w:rPr>
      </w:pPr>
      <w:r>
        <w:rPr>
          <w:rFonts w:hint="eastAsia" w:hAnsi="宋体"/>
          <w:b/>
          <w:bCs/>
          <w:sz w:val="24"/>
          <w:szCs w:val="22"/>
          <w:u w:val="single"/>
        </w:rPr>
        <w:t>深铁置业成本管理系统升级改造项目</w:t>
      </w:r>
    </w:p>
    <w:p>
      <w:pPr>
        <w:pStyle w:val="4"/>
        <w:spacing w:line="360" w:lineRule="auto"/>
        <w:ind w:firstLine="482" w:firstLineChars="200"/>
        <w:rPr>
          <w:rFonts w:hAnsi="宋体"/>
          <w:b/>
          <w:sz w:val="24"/>
          <w:szCs w:val="24"/>
        </w:rPr>
      </w:pPr>
      <w:r>
        <w:rPr>
          <w:rFonts w:hint="eastAsia" w:hAnsi="宋体"/>
          <w:b/>
          <w:sz w:val="24"/>
          <w:szCs w:val="24"/>
          <w:lang w:val="en-US" w:eastAsia="zh-CN"/>
        </w:rPr>
        <w:t>二</w:t>
      </w:r>
      <w:r>
        <w:rPr>
          <w:rFonts w:hint="eastAsia" w:hAnsi="宋体"/>
          <w:b/>
          <w:sz w:val="24"/>
          <w:szCs w:val="24"/>
        </w:rPr>
        <w:t>、</w:t>
      </w:r>
      <w:r>
        <w:rPr>
          <w:rFonts w:hint="eastAsia" w:hAnsi="宋体"/>
          <w:b/>
          <w:sz w:val="24"/>
          <w:szCs w:val="24"/>
          <w:lang w:val="en-US" w:eastAsia="zh-CN"/>
        </w:rPr>
        <w:t>比选</w:t>
      </w:r>
      <w:r>
        <w:rPr>
          <w:rFonts w:hint="eastAsia" w:hAnsi="宋体"/>
          <w:b/>
          <w:sz w:val="24"/>
          <w:szCs w:val="24"/>
        </w:rPr>
        <w:t>内容</w:t>
      </w:r>
    </w:p>
    <w:p>
      <w:pPr>
        <w:pStyle w:val="4"/>
        <w:spacing w:line="360" w:lineRule="auto"/>
        <w:ind w:firstLine="480" w:firstLineChars="200"/>
        <w:rPr>
          <w:rFonts w:hint="eastAsia" w:hAnsi="宋体"/>
          <w:kern w:val="2"/>
          <w:sz w:val="24"/>
          <w:szCs w:val="24"/>
        </w:rPr>
      </w:pPr>
      <w:r>
        <w:rPr>
          <w:rFonts w:hint="eastAsia" w:hAnsi="宋体"/>
          <w:kern w:val="2"/>
          <w:sz w:val="24"/>
          <w:szCs w:val="24"/>
        </w:rPr>
        <w:t xml:space="preserve">具体内容包括但不限于： </w:t>
      </w:r>
    </w:p>
    <w:p>
      <w:pPr>
        <w:pStyle w:val="4"/>
        <w:spacing w:line="360" w:lineRule="auto"/>
        <w:ind w:firstLine="480" w:firstLineChars="200"/>
        <w:rPr>
          <w:rFonts w:hint="eastAsia" w:hAnsi="宋体"/>
          <w:kern w:val="2"/>
          <w:sz w:val="24"/>
          <w:szCs w:val="24"/>
        </w:rPr>
      </w:pPr>
      <w:r>
        <w:rPr>
          <w:rFonts w:hint="eastAsia" w:hAnsi="宋体"/>
          <w:kern w:val="2"/>
          <w:sz w:val="24"/>
          <w:szCs w:val="24"/>
        </w:rPr>
        <w:t>（一）成本管理系统升级</w:t>
      </w:r>
    </w:p>
    <w:p>
      <w:pPr>
        <w:pStyle w:val="4"/>
        <w:spacing w:line="360" w:lineRule="auto"/>
        <w:ind w:firstLine="480" w:firstLineChars="200"/>
        <w:rPr>
          <w:rFonts w:hint="eastAsia" w:hAnsi="宋体"/>
          <w:kern w:val="2"/>
          <w:sz w:val="24"/>
          <w:szCs w:val="24"/>
        </w:rPr>
      </w:pPr>
      <w:r>
        <w:rPr>
          <w:rFonts w:hint="eastAsia" w:hAnsi="宋体"/>
          <w:kern w:val="2"/>
          <w:sz w:val="24"/>
          <w:szCs w:val="24"/>
        </w:rPr>
        <w:t>1.梳理成本业务场景：梳理并优化成本管理业务场景，优化成本工作流程、工作权责、工作标准。结合公司成本管控需要，构建成本管控预警机制。</w:t>
      </w:r>
    </w:p>
    <w:p>
      <w:pPr>
        <w:pStyle w:val="4"/>
        <w:spacing w:line="360" w:lineRule="auto"/>
        <w:ind w:firstLine="480" w:firstLineChars="200"/>
        <w:rPr>
          <w:rFonts w:hint="eastAsia" w:hAnsi="宋体"/>
          <w:kern w:val="2"/>
          <w:sz w:val="24"/>
          <w:szCs w:val="24"/>
        </w:rPr>
      </w:pPr>
      <w:r>
        <w:rPr>
          <w:rFonts w:hint="eastAsia" w:hAnsi="宋体"/>
          <w:kern w:val="2"/>
          <w:sz w:val="24"/>
          <w:szCs w:val="24"/>
        </w:rPr>
        <w:t>2.制定成本管理目标：梳理并优化目标成本/动态成本管控要求，提高成本数据的准确性。明确各项目的管控目标。</w:t>
      </w:r>
    </w:p>
    <w:p>
      <w:pPr>
        <w:pStyle w:val="4"/>
        <w:spacing w:line="360" w:lineRule="auto"/>
        <w:ind w:firstLine="480" w:firstLineChars="200"/>
        <w:rPr>
          <w:rFonts w:hint="eastAsia" w:hAnsi="宋体"/>
          <w:kern w:val="2"/>
          <w:sz w:val="24"/>
          <w:szCs w:val="24"/>
        </w:rPr>
      </w:pPr>
      <w:r>
        <w:rPr>
          <w:rFonts w:hint="eastAsia" w:hAnsi="宋体"/>
          <w:kern w:val="2"/>
          <w:sz w:val="24"/>
          <w:szCs w:val="24"/>
        </w:rPr>
        <w:t>3.合同管理：梳理合同管理业务流程，对合同签订、执行、变更、付款、结算全过程的合同管理进行管理优化和页面优化，让成本过程管理清晰明了，有效管控成本风险。</w:t>
      </w:r>
    </w:p>
    <w:p>
      <w:pPr>
        <w:pStyle w:val="4"/>
        <w:spacing w:line="360" w:lineRule="auto"/>
        <w:ind w:firstLine="480" w:firstLineChars="200"/>
        <w:rPr>
          <w:rFonts w:hint="eastAsia" w:hAnsi="宋体" w:eastAsia="宋体"/>
          <w:kern w:val="2"/>
          <w:sz w:val="24"/>
          <w:szCs w:val="24"/>
          <w:lang w:eastAsia="zh-CN"/>
        </w:rPr>
      </w:pPr>
      <w:r>
        <w:rPr>
          <w:rFonts w:hint="eastAsia" w:hAnsi="宋体"/>
          <w:kern w:val="2"/>
          <w:sz w:val="24"/>
          <w:szCs w:val="24"/>
        </w:rPr>
        <w:t>4.成本分摊：重新梳理成本分摊规则（科目、产品），分摊后自动核算项目的各业态产品的单方成本，指导项目定价</w:t>
      </w:r>
      <w:r>
        <w:rPr>
          <w:rFonts w:hint="eastAsia" w:hAnsi="宋体"/>
          <w:kern w:val="2"/>
          <w:sz w:val="24"/>
          <w:szCs w:val="24"/>
          <w:lang w:eastAsia="zh-CN"/>
        </w:rPr>
        <w:t>。</w:t>
      </w:r>
    </w:p>
    <w:p>
      <w:pPr>
        <w:pStyle w:val="4"/>
        <w:spacing w:line="360" w:lineRule="auto"/>
        <w:ind w:firstLine="480" w:firstLineChars="200"/>
        <w:rPr>
          <w:rFonts w:hint="eastAsia" w:hAnsi="宋体" w:eastAsia="宋体"/>
          <w:kern w:val="2"/>
          <w:sz w:val="24"/>
          <w:szCs w:val="24"/>
          <w:lang w:eastAsia="zh-CN"/>
        </w:rPr>
      </w:pPr>
      <w:r>
        <w:rPr>
          <w:rFonts w:hint="eastAsia" w:hAnsi="宋体"/>
          <w:kern w:val="2"/>
          <w:sz w:val="24"/>
          <w:szCs w:val="24"/>
        </w:rPr>
        <w:t>5.动态成本管控：构建月度成本回顾机制，及时获知项目动态成本偏差情况</w:t>
      </w:r>
      <w:r>
        <w:rPr>
          <w:rFonts w:hint="eastAsia" w:hAnsi="宋体"/>
          <w:kern w:val="2"/>
          <w:sz w:val="24"/>
          <w:szCs w:val="24"/>
          <w:lang w:eastAsia="zh-CN"/>
        </w:rPr>
        <w:t>。</w:t>
      </w:r>
    </w:p>
    <w:p>
      <w:pPr>
        <w:pStyle w:val="4"/>
        <w:spacing w:line="360" w:lineRule="auto"/>
        <w:ind w:firstLine="480" w:firstLineChars="200"/>
        <w:rPr>
          <w:rFonts w:hint="eastAsia" w:hAnsi="宋体" w:eastAsia="宋体"/>
          <w:kern w:val="2"/>
          <w:sz w:val="24"/>
          <w:szCs w:val="24"/>
          <w:lang w:eastAsia="zh-CN"/>
        </w:rPr>
      </w:pPr>
      <w:r>
        <w:rPr>
          <w:rFonts w:hint="eastAsia" w:hAnsi="宋体"/>
          <w:kern w:val="2"/>
          <w:sz w:val="24"/>
          <w:szCs w:val="24"/>
        </w:rPr>
        <w:t>6.流程优化：将当前所有成本业务流程进行重新梳理，按照公司管理需要，全面优化审批表单（包括移动审批），提高成本审批工作效率。同时梳理所有审批流程和权限</w:t>
      </w:r>
      <w:r>
        <w:rPr>
          <w:rFonts w:hint="eastAsia" w:hAnsi="宋体"/>
          <w:kern w:val="2"/>
          <w:sz w:val="24"/>
          <w:szCs w:val="24"/>
          <w:lang w:eastAsia="zh-CN"/>
        </w:rPr>
        <w:t>。</w:t>
      </w:r>
    </w:p>
    <w:p>
      <w:pPr>
        <w:pStyle w:val="4"/>
        <w:spacing w:line="360" w:lineRule="auto"/>
        <w:ind w:firstLine="480" w:firstLineChars="200"/>
        <w:rPr>
          <w:rFonts w:hint="eastAsia" w:hAnsi="宋体" w:eastAsia="宋体"/>
          <w:kern w:val="2"/>
          <w:sz w:val="24"/>
          <w:szCs w:val="24"/>
          <w:lang w:eastAsia="zh-CN"/>
        </w:rPr>
      </w:pPr>
      <w:r>
        <w:rPr>
          <w:rFonts w:hint="eastAsia" w:hAnsi="宋体"/>
          <w:kern w:val="2"/>
          <w:sz w:val="24"/>
          <w:szCs w:val="24"/>
        </w:rPr>
        <w:t>7.报表优化：根据公司管理需求，重新梳理成本业务报表，实现成本报表高效、准确呈现（包括移动报表）。例如合同台账、动态成本、结算报表等</w:t>
      </w:r>
      <w:r>
        <w:rPr>
          <w:rFonts w:hint="eastAsia" w:hAnsi="宋体"/>
          <w:kern w:val="2"/>
          <w:sz w:val="24"/>
          <w:szCs w:val="24"/>
          <w:lang w:eastAsia="zh-CN"/>
        </w:rPr>
        <w:t>。</w:t>
      </w:r>
    </w:p>
    <w:p>
      <w:pPr>
        <w:pStyle w:val="4"/>
        <w:spacing w:line="360" w:lineRule="auto"/>
        <w:ind w:firstLine="480" w:firstLineChars="200"/>
        <w:rPr>
          <w:rFonts w:hint="eastAsia" w:hAnsi="宋体"/>
          <w:kern w:val="2"/>
          <w:sz w:val="24"/>
          <w:szCs w:val="24"/>
        </w:rPr>
      </w:pPr>
      <w:r>
        <w:rPr>
          <w:rFonts w:hint="eastAsia" w:hAnsi="宋体"/>
          <w:kern w:val="2"/>
          <w:sz w:val="24"/>
          <w:szCs w:val="24"/>
        </w:rPr>
        <w:t>8.其他需求：可根据岗位自定义工作桌面，提升成本管理工作效率。</w:t>
      </w:r>
    </w:p>
    <w:p>
      <w:pPr>
        <w:pStyle w:val="4"/>
        <w:spacing w:line="360" w:lineRule="auto"/>
        <w:ind w:firstLine="480" w:firstLineChars="200"/>
        <w:rPr>
          <w:rFonts w:hint="eastAsia" w:hAnsi="宋体"/>
          <w:kern w:val="2"/>
          <w:sz w:val="24"/>
          <w:szCs w:val="24"/>
        </w:rPr>
      </w:pPr>
      <w:r>
        <w:rPr>
          <w:rFonts w:hint="eastAsia" w:hAnsi="宋体"/>
          <w:kern w:val="2"/>
          <w:sz w:val="24"/>
          <w:szCs w:val="24"/>
        </w:rPr>
        <w:t>（二）接口集成</w:t>
      </w:r>
    </w:p>
    <w:p>
      <w:pPr>
        <w:pStyle w:val="4"/>
        <w:spacing w:line="360" w:lineRule="auto"/>
        <w:ind w:firstLine="480" w:firstLineChars="200"/>
        <w:rPr>
          <w:rFonts w:hint="eastAsia" w:hAnsi="宋体" w:eastAsia="宋体"/>
          <w:kern w:val="2"/>
          <w:sz w:val="24"/>
          <w:szCs w:val="24"/>
          <w:lang w:eastAsia="zh-CN"/>
        </w:rPr>
      </w:pPr>
      <w:r>
        <w:rPr>
          <w:rFonts w:hint="eastAsia" w:hAnsi="宋体"/>
          <w:kern w:val="2"/>
          <w:sz w:val="24"/>
          <w:szCs w:val="24"/>
        </w:rPr>
        <w:t>1.地铁集团OA接口：单点登录、用户集成、组织机构集成待办待阅集成等</w:t>
      </w:r>
      <w:r>
        <w:rPr>
          <w:rFonts w:hint="eastAsia" w:hAnsi="宋体"/>
          <w:kern w:val="2"/>
          <w:sz w:val="24"/>
          <w:szCs w:val="24"/>
          <w:lang w:eastAsia="zh-CN"/>
        </w:rPr>
        <w:t>。</w:t>
      </w:r>
    </w:p>
    <w:p>
      <w:pPr>
        <w:pStyle w:val="4"/>
        <w:spacing w:line="360" w:lineRule="auto"/>
        <w:ind w:firstLine="480" w:firstLineChars="200"/>
        <w:rPr>
          <w:rFonts w:hint="eastAsia" w:hAnsi="宋体" w:eastAsia="宋体"/>
          <w:kern w:val="2"/>
          <w:sz w:val="24"/>
          <w:szCs w:val="24"/>
          <w:lang w:eastAsia="zh-CN"/>
        </w:rPr>
      </w:pPr>
      <w:r>
        <w:rPr>
          <w:rFonts w:hint="eastAsia" w:hAnsi="宋体"/>
          <w:kern w:val="2"/>
          <w:sz w:val="24"/>
          <w:szCs w:val="24"/>
        </w:rPr>
        <w:t>2.地铁集团主数据系统接口：合同数据集成、供应商数据集成等</w:t>
      </w:r>
      <w:r>
        <w:rPr>
          <w:rFonts w:hint="eastAsia" w:hAnsi="宋体"/>
          <w:kern w:val="2"/>
          <w:sz w:val="24"/>
          <w:szCs w:val="24"/>
          <w:lang w:eastAsia="zh-CN"/>
        </w:rPr>
        <w:t>。</w:t>
      </w:r>
    </w:p>
    <w:p>
      <w:pPr>
        <w:pStyle w:val="4"/>
        <w:spacing w:line="360" w:lineRule="auto"/>
        <w:ind w:firstLine="480" w:firstLineChars="200"/>
        <w:rPr>
          <w:rFonts w:hint="eastAsia" w:hAnsi="宋体" w:eastAsia="宋体"/>
          <w:kern w:val="2"/>
          <w:sz w:val="24"/>
          <w:szCs w:val="24"/>
          <w:lang w:eastAsia="zh-CN"/>
        </w:rPr>
      </w:pPr>
      <w:r>
        <w:rPr>
          <w:rFonts w:hint="eastAsia" w:hAnsi="宋体"/>
          <w:kern w:val="2"/>
          <w:sz w:val="24"/>
          <w:szCs w:val="24"/>
        </w:rPr>
        <w:t>3.地铁集团财务共享中心接口：财务数据集成</w:t>
      </w:r>
      <w:r>
        <w:rPr>
          <w:rFonts w:hint="eastAsia" w:hAnsi="宋体"/>
          <w:kern w:val="2"/>
          <w:sz w:val="24"/>
          <w:szCs w:val="24"/>
          <w:lang w:eastAsia="zh-CN"/>
        </w:rPr>
        <w:t>。</w:t>
      </w:r>
    </w:p>
    <w:p>
      <w:pPr>
        <w:pStyle w:val="4"/>
        <w:spacing w:line="360" w:lineRule="auto"/>
        <w:ind w:firstLine="480" w:firstLineChars="200"/>
        <w:rPr>
          <w:rFonts w:hint="eastAsia" w:hAnsi="宋体" w:eastAsia="宋体"/>
          <w:kern w:val="2"/>
          <w:sz w:val="24"/>
          <w:szCs w:val="24"/>
          <w:lang w:eastAsia="zh-CN"/>
        </w:rPr>
      </w:pPr>
      <w:r>
        <w:rPr>
          <w:rFonts w:hint="eastAsia" w:hAnsi="宋体"/>
          <w:kern w:val="2"/>
          <w:sz w:val="24"/>
          <w:szCs w:val="24"/>
        </w:rPr>
        <w:t>4.地铁集团智能招采平台接口：单点登录、数据集成等</w:t>
      </w:r>
      <w:r>
        <w:rPr>
          <w:rFonts w:hint="eastAsia" w:hAnsi="宋体"/>
          <w:kern w:val="2"/>
          <w:sz w:val="24"/>
          <w:szCs w:val="24"/>
          <w:lang w:eastAsia="zh-CN"/>
        </w:rPr>
        <w:t>。</w:t>
      </w:r>
    </w:p>
    <w:p>
      <w:pPr>
        <w:pStyle w:val="4"/>
        <w:spacing w:line="360" w:lineRule="auto"/>
        <w:ind w:firstLine="480" w:firstLineChars="200"/>
        <w:rPr>
          <w:rFonts w:hint="eastAsia" w:hAnsi="宋体" w:eastAsia="宋体"/>
          <w:kern w:val="2"/>
          <w:sz w:val="24"/>
          <w:szCs w:val="24"/>
          <w:lang w:eastAsia="zh-CN"/>
        </w:rPr>
      </w:pPr>
      <w:r>
        <w:rPr>
          <w:rFonts w:hint="eastAsia" w:hAnsi="宋体"/>
          <w:kern w:val="2"/>
          <w:sz w:val="24"/>
          <w:szCs w:val="24"/>
        </w:rPr>
        <w:t>5.地铁集团成本大数据平台：单点登录、数据集成等</w:t>
      </w:r>
      <w:r>
        <w:rPr>
          <w:rFonts w:hint="eastAsia" w:hAnsi="宋体"/>
          <w:kern w:val="2"/>
          <w:sz w:val="24"/>
          <w:szCs w:val="24"/>
          <w:lang w:eastAsia="zh-CN"/>
        </w:rPr>
        <w:t>。</w:t>
      </w:r>
    </w:p>
    <w:p>
      <w:pPr>
        <w:pStyle w:val="4"/>
        <w:spacing w:line="360" w:lineRule="auto"/>
        <w:ind w:firstLine="480" w:firstLineChars="200"/>
        <w:rPr>
          <w:rFonts w:hint="eastAsia" w:hAnsi="宋体" w:eastAsia="宋体"/>
          <w:kern w:val="2"/>
          <w:sz w:val="24"/>
          <w:szCs w:val="24"/>
          <w:lang w:eastAsia="zh-CN"/>
        </w:rPr>
      </w:pPr>
      <w:r>
        <w:rPr>
          <w:rFonts w:hint="eastAsia" w:hAnsi="宋体"/>
          <w:kern w:val="2"/>
          <w:sz w:val="24"/>
          <w:szCs w:val="24"/>
        </w:rPr>
        <w:t>6.深铁置业数字档案管理系统接口：单点登录、数据集成、工作流集成等</w:t>
      </w:r>
      <w:r>
        <w:rPr>
          <w:rFonts w:hint="eastAsia" w:hAnsi="宋体"/>
          <w:kern w:val="2"/>
          <w:sz w:val="24"/>
          <w:szCs w:val="24"/>
          <w:lang w:eastAsia="zh-CN"/>
        </w:rPr>
        <w:t>。</w:t>
      </w:r>
    </w:p>
    <w:p>
      <w:pPr>
        <w:pStyle w:val="4"/>
        <w:spacing w:line="360" w:lineRule="auto"/>
        <w:ind w:firstLine="480" w:firstLineChars="200"/>
        <w:rPr>
          <w:rFonts w:hint="eastAsia" w:hAnsi="宋体" w:eastAsia="宋体"/>
          <w:kern w:val="2"/>
          <w:sz w:val="24"/>
          <w:szCs w:val="24"/>
          <w:lang w:eastAsia="zh-CN"/>
        </w:rPr>
      </w:pPr>
      <w:r>
        <w:rPr>
          <w:rFonts w:hint="eastAsia" w:hAnsi="宋体"/>
          <w:kern w:val="2"/>
          <w:sz w:val="24"/>
          <w:szCs w:val="24"/>
        </w:rPr>
        <w:t>7.与现有深铁置业信息管理系统（ERP系统）接口集成：单点登录、数据集成、工作流集成等</w:t>
      </w:r>
      <w:r>
        <w:rPr>
          <w:rFonts w:hint="eastAsia" w:hAnsi="宋体"/>
          <w:kern w:val="2"/>
          <w:sz w:val="24"/>
          <w:szCs w:val="24"/>
          <w:lang w:eastAsia="zh-CN"/>
        </w:rPr>
        <w:t>。</w:t>
      </w:r>
    </w:p>
    <w:p>
      <w:pPr>
        <w:pStyle w:val="4"/>
        <w:spacing w:line="360" w:lineRule="auto"/>
        <w:ind w:firstLine="480" w:firstLineChars="200"/>
        <w:rPr>
          <w:rFonts w:hint="eastAsia" w:hAnsi="宋体"/>
          <w:kern w:val="2"/>
          <w:sz w:val="24"/>
          <w:szCs w:val="24"/>
        </w:rPr>
      </w:pPr>
      <w:r>
        <w:rPr>
          <w:rFonts w:hint="eastAsia" w:hAnsi="宋体"/>
          <w:kern w:val="2"/>
          <w:sz w:val="24"/>
          <w:szCs w:val="24"/>
        </w:rPr>
        <w:t>（三）数据迁移治理</w:t>
      </w:r>
    </w:p>
    <w:p>
      <w:pPr>
        <w:pStyle w:val="4"/>
        <w:spacing w:line="360" w:lineRule="auto"/>
        <w:ind w:firstLine="480" w:firstLineChars="200"/>
        <w:rPr>
          <w:rFonts w:hint="eastAsia" w:hAnsi="宋体"/>
          <w:kern w:val="2"/>
          <w:sz w:val="24"/>
          <w:szCs w:val="24"/>
        </w:rPr>
      </w:pPr>
      <w:r>
        <w:rPr>
          <w:rFonts w:hint="eastAsia" w:hAnsi="宋体"/>
          <w:kern w:val="2"/>
          <w:sz w:val="24"/>
          <w:szCs w:val="24"/>
        </w:rPr>
        <w:t>将现有深铁置业信息管理系统成本管理系统中所有数据迁移到升级改造后的成本管理系统中，同时梳理数据形成数据知识库。</w:t>
      </w:r>
    </w:p>
    <w:p>
      <w:pPr>
        <w:pStyle w:val="4"/>
        <w:spacing w:line="360" w:lineRule="auto"/>
        <w:ind w:firstLine="480" w:firstLineChars="200"/>
        <w:rPr>
          <w:rFonts w:hint="eastAsia" w:hAnsi="宋体"/>
          <w:kern w:val="2"/>
          <w:sz w:val="24"/>
          <w:szCs w:val="24"/>
        </w:rPr>
      </w:pPr>
      <w:r>
        <w:rPr>
          <w:rFonts w:hint="eastAsia" w:hAnsi="宋体"/>
          <w:kern w:val="2"/>
          <w:sz w:val="24"/>
          <w:szCs w:val="24"/>
        </w:rPr>
        <w:t>（四）功能性要求：</w:t>
      </w:r>
    </w:p>
    <w:p>
      <w:pPr>
        <w:pStyle w:val="4"/>
        <w:spacing w:line="360" w:lineRule="auto"/>
        <w:ind w:firstLine="480" w:firstLineChars="200"/>
        <w:rPr>
          <w:rFonts w:hint="eastAsia" w:hAnsi="宋体"/>
          <w:kern w:val="2"/>
          <w:sz w:val="24"/>
          <w:szCs w:val="24"/>
        </w:rPr>
      </w:pPr>
      <w:r>
        <w:rPr>
          <w:rFonts w:hint="eastAsia" w:hAnsi="宋体"/>
          <w:kern w:val="2"/>
          <w:sz w:val="24"/>
          <w:szCs w:val="24"/>
        </w:rPr>
        <w:t>1.服务器部署：支持分布式部署方式</w:t>
      </w:r>
      <w:r>
        <w:rPr>
          <w:rFonts w:hint="eastAsia" w:hAnsi="宋体"/>
          <w:kern w:val="2"/>
          <w:sz w:val="24"/>
          <w:szCs w:val="24"/>
          <w:lang w:eastAsia="zh-CN"/>
        </w:rPr>
        <w:t>，</w:t>
      </w:r>
      <w:r>
        <w:rPr>
          <w:rFonts w:hint="eastAsia" w:hAnsi="宋体"/>
          <w:kern w:val="2"/>
          <w:sz w:val="24"/>
          <w:szCs w:val="24"/>
        </w:rPr>
        <w:t>支持水平扩展应对后续应用与数据的增加。</w:t>
      </w:r>
    </w:p>
    <w:p>
      <w:pPr>
        <w:pStyle w:val="4"/>
        <w:spacing w:line="360" w:lineRule="auto"/>
        <w:ind w:firstLine="480" w:firstLineChars="200"/>
        <w:rPr>
          <w:rFonts w:hint="eastAsia" w:hAnsi="宋体"/>
          <w:kern w:val="2"/>
          <w:sz w:val="24"/>
          <w:szCs w:val="24"/>
        </w:rPr>
      </w:pPr>
      <w:r>
        <w:rPr>
          <w:rFonts w:hint="eastAsia" w:hAnsi="宋体"/>
          <w:kern w:val="2"/>
          <w:sz w:val="24"/>
          <w:szCs w:val="24"/>
        </w:rPr>
        <w:t>2.桌面端：支持Internet Explorer11、Edge、Chrome、Firefox等主流浏览器</w:t>
      </w:r>
      <w:r>
        <w:rPr>
          <w:rFonts w:hint="eastAsia" w:hAnsi="宋体"/>
          <w:kern w:val="2"/>
          <w:sz w:val="24"/>
          <w:szCs w:val="24"/>
          <w:lang w:eastAsia="zh-CN"/>
        </w:rPr>
        <w:t>。</w:t>
      </w:r>
      <w:r>
        <w:rPr>
          <w:rFonts w:hint="eastAsia" w:hAnsi="宋体"/>
          <w:kern w:val="2"/>
          <w:sz w:val="24"/>
          <w:szCs w:val="24"/>
        </w:rPr>
        <w:t xml:space="preserve"> </w:t>
      </w:r>
    </w:p>
    <w:p>
      <w:pPr>
        <w:pStyle w:val="4"/>
        <w:spacing w:line="360" w:lineRule="auto"/>
        <w:ind w:firstLine="480" w:firstLineChars="200"/>
        <w:rPr>
          <w:rFonts w:hint="eastAsia" w:hAnsi="宋体"/>
          <w:kern w:val="2"/>
          <w:sz w:val="24"/>
          <w:szCs w:val="24"/>
        </w:rPr>
      </w:pPr>
      <w:r>
        <w:rPr>
          <w:rFonts w:hint="eastAsia" w:hAnsi="宋体"/>
          <w:kern w:val="2"/>
          <w:sz w:val="24"/>
          <w:szCs w:val="24"/>
        </w:rPr>
        <w:t>（五）使用范围及用户数要求：</w:t>
      </w:r>
    </w:p>
    <w:p>
      <w:pPr>
        <w:pStyle w:val="4"/>
        <w:spacing w:line="360" w:lineRule="auto"/>
        <w:ind w:firstLine="480" w:firstLineChars="200"/>
        <w:rPr>
          <w:rFonts w:hint="eastAsia" w:hAnsi="宋体"/>
          <w:kern w:val="2"/>
          <w:sz w:val="24"/>
          <w:szCs w:val="24"/>
        </w:rPr>
      </w:pPr>
      <w:r>
        <w:rPr>
          <w:rFonts w:hint="eastAsia" w:hAnsi="宋体"/>
          <w:kern w:val="2"/>
          <w:sz w:val="24"/>
          <w:szCs w:val="24"/>
        </w:rPr>
        <w:t>1.使用范围：深铁置业自主及合作项目。</w:t>
      </w:r>
    </w:p>
    <w:p>
      <w:pPr>
        <w:pStyle w:val="4"/>
        <w:spacing w:line="360" w:lineRule="auto"/>
        <w:ind w:firstLine="480" w:firstLineChars="200"/>
        <w:rPr>
          <w:rFonts w:hint="eastAsia" w:hAnsi="宋体"/>
          <w:kern w:val="2"/>
          <w:sz w:val="24"/>
          <w:szCs w:val="24"/>
        </w:rPr>
      </w:pPr>
      <w:r>
        <w:rPr>
          <w:rFonts w:hint="eastAsia" w:hAnsi="宋体"/>
          <w:kern w:val="2"/>
          <w:sz w:val="24"/>
          <w:szCs w:val="24"/>
        </w:rPr>
        <w:t>2.用户数量：大于等于450个用户的授权使用。</w:t>
      </w:r>
    </w:p>
    <w:p>
      <w:pPr>
        <w:pStyle w:val="4"/>
        <w:spacing w:line="360" w:lineRule="auto"/>
        <w:ind w:firstLine="480" w:firstLineChars="200"/>
        <w:rPr>
          <w:rFonts w:hint="eastAsia" w:hAnsi="宋体"/>
          <w:kern w:val="2"/>
          <w:sz w:val="24"/>
          <w:szCs w:val="24"/>
        </w:rPr>
      </w:pPr>
      <w:r>
        <w:rPr>
          <w:rFonts w:hint="eastAsia" w:hAnsi="宋体"/>
          <w:kern w:val="2"/>
          <w:sz w:val="24"/>
          <w:szCs w:val="24"/>
        </w:rPr>
        <w:t>（六）系统免费运维期二次开发人天要求</w:t>
      </w:r>
    </w:p>
    <w:p>
      <w:pPr>
        <w:pStyle w:val="4"/>
        <w:spacing w:line="360" w:lineRule="auto"/>
        <w:ind w:firstLine="480" w:firstLineChars="200"/>
        <w:rPr>
          <w:rFonts w:hint="eastAsia" w:hAnsi="宋体"/>
          <w:kern w:val="2"/>
          <w:sz w:val="24"/>
          <w:szCs w:val="24"/>
        </w:rPr>
      </w:pPr>
      <w:r>
        <w:rPr>
          <w:rFonts w:hint="eastAsia" w:hAnsi="宋体"/>
          <w:kern w:val="2"/>
          <w:sz w:val="24"/>
          <w:szCs w:val="24"/>
        </w:rPr>
        <w:t>预留50人天二次开发工作量用于在系统免费运维期（系统竣工验收后）对系统的二次开发，包含对界面、报表、操作便捷性等方面进行适配。</w:t>
      </w:r>
    </w:p>
    <w:p>
      <w:pPr>
        <w:pStyle w:val="4"/>
        <w:spacing w:line="360" w:lineRule="auto"/>
        <w:ind w:firstLine="482" w:firstLineChars="200"/>
        <w:rPr>
          <w:rFonts w:hAnsi="宋体"/>
          <w:b/>
          <w:sz w:val="24"/>
          <w:szCs w:val="24"/>
        </w:rPr>
      </w:pPr>
      <w:r>
        <w:rPr>
          <w:rFonts w:hint="eastAsia" w:hAnsi="宋体"/>
          <w:b/>
          <w:sz w:val="24"/>
          <w:szCs w:val="24"/>
          <w:lang w:val="en-US" w:eastAsia="zh-CN"/>
        </w:rPr>
        <w:t>三</w:t>
      </w:r>
      <w:r>
        <w:rPr>
          <w:rFonts w:hint="eastAsia" w:hAnsi="宋体"/>
          <w:b/>
          <w:sz w:val="24"/>
          <w:szCs w:val="24"/>
        </w:rPr>
        <w:t>、</w:t>
      </w:r>
      <w:r>
        <w:rPr>
          <w:rFonts w:hint="eastAsia" w:hAnsi="宋体"/>
          <w:b/>
          <w:sz w:val="24"/>
          <w:szCs w:val="24"/>
          <w:lang w:val="en-US" w:eastAsia="zh-CN"/>
        </w:rPr>
        <w:t>比选</w:t>
      </w:r>
      <w:r>
        <w:rPr>
          <w:rFonts w:hint="eastAsia" w:hAnsi="宋体"/>
          <w:b/>
          <w:sz w:val="24"/>
          <w:szCs w:val="24"/>
        </w:rPr>
        <w:t>控制价格</w:t>
      </w:r>
    </w:p>
    <w:p>
      <w:pPr>
        <w:pStyle w:val="4"/>
        <w:spacing w:line="360" w:lineRule="auto"/>
        <w:ind w:firstLine="480" w:firstLineChars="200"/>
        <w:rPr>
          <w:rFonts w:hint="eastAsia" w:hAnsi="宋体"/>
          <w:kern w:val="2"/>
          <w:sz w:val="24"/>
          <w:szCs w:val="24"/>
        </w:rPr>
      </w:pPr>
      <w:r>
        <w:rPr>
          <w:rFonts w:hint="eastAsia" w:hAnsi="宋体"/>
          <w:kern w:val="2"/>
          <w:sz w:val="24"/>
          <w:szCs w:val="24"/>
        </w:rPr>
        <w:t>本次</w:t>
      </w:r>
      <w:r>
        <w:rPr>
          <w:rFonts w:hint="eastAsia" w:hAnsi="宋体"/>
          <w:kern w:val="2"/>
          <w:sz w:val="24"/>
          <w:szCs w:val="24"/>
          <w:lang w:val="en-US" w:eastAsia="zh-CN"/>
        </w:rPr>
        <w:t>比选</w:t>
      </w:r>
      <w:r>
        <w:rPr>
          <w:rFonts w:hint="eastAsia" w:hAnsi="宋体"/>
          <w:kern w:val="2"/>
          <w:sz w:val="24"/>
          <w:szCs w:val="24"/>
        </w:rPr>
        <w:t>报价总体费用最高限价为人民币400万元以内（含税）。包含但不限于系统的开发、软件的安装部署、培训、技术支持服务、质保期服务、运维服务等发生的所有费用及一切税费（包括关税、增值税）。</w:t>
      </w:r>
    </w:p>
    <w:p>
      <w:pPr>
        <w:pStyle w:val="4"/>
        <w:spacing w:line="360" w:lineRule="auto"/>
        <w:ind w:firstLine="482" w:firstLineChars="200"/>
        <w:rPr>
          <w:rFonts w:hint="eastAsia" w:hAnsi="宋体"/>
          <w:b/>
          <w:sz w:val="24"/>
          <w:szCs w:val="24"/>
          <w:lang w:val="en-US" w:eastAsia="zh-CN"/>
        </w:rPr>
      </w:pPr>
      <w:r>
        <w:rPr>
          <w:rFonts w:hint="eastAsia" w:hAnsi="宋体"/>
          <w:b/>
          <w:sz w:val="24"/>
          <w:szCs w:val="24"/>
          <w:lang w:val="en-US" w:eastAsia="zh-CN"/>
        </w:rPr>
        <w:t>四、服务期限</w:t>
      </w:r>
    </w:p>
    <w:p>
      <w:pPr>
        <w:pStyle w:val="4"/>
        <w:spacing w:line="360" w:lineRule="auto"/>
        <w:ind w:firstLine="480" w:firstLineChars="200"/>
        <w:rPr>
          <w:rFonts w:hint="eastAsia" w:hAnsi="宋体"/>
          <w:kern w:val="2"/>
          <w:sz w:val="24"/>
          <w:szCs w:val="24"/>
          <w:lang w:val="en-US" w:eastAsia="zh-CN"/>
        </w:rPr>
      </w:pPr>
      <w:r>
        <w:rPr>
          <w:rFonts w:hint="eastAsia" w:hAnsi="宋体"/>
          <w:kern w:val="2"/>
          <w:sz w:val="24"/>
          <w:szCs w:val="24"/>
          <w:lang w:val="en-US" w:eastAsia="zh-CN"/>
        </w:rPr>
        <w:t>暂定自2021年8月1日至2022年7月31日，共365日历天。具体开始工作时间将依据甲方通知乙方的时间为准。</w:t>
      </w:r>
    </w:p>
    <w:p>
      <w:pPr>
        <w:pStyle w:val="4"/>
        <w:spacing w:line="360" w:lineRule="auto"/>
        <w:ind w:firstLine="482" w:firstLineChars="200"/>
        <w:rPr>
          <w:rFonts w:hAnsi="宋体"/>
          <w:b/>
          <w:sz w:val="24"/>
          <w:szCs w:val="24"/>
        </w:rPr>
      </w:pPr>
      <w:r>
        <w:rPr>
          <w:rFonts w:hint="eastAsia" w:hAnsi="宋体"/>
          <w:b/>
          <w:sz w:val="24"/>
          <w:szCs w:val="24"/>
          <w:lang w:val="en-US" w:eastAsia="zh-CN"/>
        </w:rPr>
        <w:t>五</w:t>
      </w:r>
      <w:r>
        <w:rPr>
          <w:rFonts w:hint="eastAsia" w:hAnsi="宋体"/>
          <w:b/>
          <w:sz w:val="24"/>
          <w:szCs w:val="24"/>
        </w:rPr>
        <w:t>、</w:t>
      </w:r>
      <w:r>
        <w:rPr>
          <w:rFonts w:hint="eastAsia" w:hAnsi="宋体"/>
          <w:b/>
          <w:sz w:val="24"/>
          <w:szCs w:val="24"/>
          <w:lang w:val="en-US" w:eastAsia="zh-CN"/>
        </w:rPr>
        <w:t>参选</w:t>
      </w:r>
      <w:r>
        <w:rPr>
          <w:rFonts w:hint="eastAsia" w:hAnsi="宋体"/>
          <w:b/>
          <w:sz w:val="24"/>
          <w:szCs w:val="24"/>
        </w:rPr>
        <w:t>人资格要求</w:t>
      </w:r>
    </w:p>
    <w:p>
      <w:pPr>
        <w:pStyle w:val="4"/>
        <w:spacing w:line="360" w:lineRule="auto"/>
        <w:ind w:firstLine="480" w:firstLineChars="200"/>
        <w:rPr>
          <w:rFonts w:hint="eastAsia" w:ascii="宋体" w:hAnsi="宋体"/>
          <w:kern w:val="0"/>
          <w:sz w:val="24"/>
          <w:szCs w:val="24"/>
        </w:rPr>
      </w:pPr>
      <w:bookmarkStart w:id="1" w:name="baidusnap7"/>
      <w:bookmarkEnd w:id="1"/>
      <w:bookmarkStart w:id="2" w:name="baidusnap4"/>
      <w:bookmarkEnd w:id="2"/>
      <w:bookmarkStart w:id="3" w:name="baidusnap1"/>
      <w:bookmarkEnd w:id="3"/>
      <w:bookmarkStart w:id="4" w:name="baidusnap0"/>
      <w:bookmarkEnd w:id="4"/>
      <w:r>
        <w:rPr>
          <w:rFonts w:hint="eastAsia" w:ascii="宋体" w:hAnsi="宋体"/>
          <w:kern w:val="0"/>
          <w:sz w:val="24"/>
          <w:szCs w:val="24"/>
        </w:rPr>
        <w:t>（一）成立时间：2015年1月1日之前成立。</w:t>
      </w:r>
    </w:p>
    <w:p>
      <w:pPr>
        <w:pStyle w:val="4"/>
        <w:spacing w:line="360" w:lineRule="auto"/>
        <w:ind w:firstLine="480" w:firstLineChars="200"/>
        <w:rPr>
          <w:rFonts w:hint="eastAsia" w:ascii="宋体" w:hAnsi="宋体"/>
          <w:kern w:val="0"/>
          <w:sz w:val="24"/>
          <w:szCs w:val="24"/>
        </w:rPr>
      </w:pPr>
      <w:r>
        <w:rPr>
          <w:rFonts w:hint="eastAsia" w:ascii="宋体" w:hAnsi="宋体"/>
          <w:kern w:val="0"/>
          <w:sz w:val="24"/>
          <w:szCs w:val="24"/>
        </w:rPr>
        <w:t>（</w:t>
      </w:r>
      <w:r>
        <w:rPr>
          <w:rFonts w:hint="eastAsia" w:hAnsi="宋体"/>
          <w:kern w:val="0"/>
          <w:sz w:val="24"/>
          <w:szCs w:val="24"/>
          <w:lang w:val="en-US" w:eastAsia="zh-CN"/>
        </w:rPr>
        <w:t>二</w:t>
      </w:r>
      <w:r>
        <w:rPr>
          <w:rFonts w:hint="eastAsia" w:ascii="宋体" w:hAnsi="宋体"/>
          <w:kern w:val="0"/>
          <w:sz w:val="24"/>
          <w:szCs w:val="24"/>
        </w:rPr>
        <w:t>）公司业绩：2015年1月1日至今，为房地产开发企业提供成本管理系统服务的案例不少于3个。</w:t>
      </w:r>
    </w:p>
    <w:p>
      <w:pPr>
        <w:pStyle w:val="4"/>
        <w:spacing w:line="360" w:lineRule="auto"/>
        <w:ind w:firstLine="480" w:firstLineChars="200"/>
        <w:rPr>
          <w:rFonts w:hint="eastAsia" w:ascii="宋体" w:hAnsi="宋体"/>
          <w:kern w:val="0"/>
          <w:sz w:val="24"/>
          <w:szCs w:val="24"/>
        </w:rPr>
      </w:pPr>
      <w:r>
        <w:rPr>
          <w:rFonts w:hint="eastAsia" w:ascii="宋体" w:hAnsi="宋体"/>
          <w:kern w:val="0"/>
          <w:sz w:val="24"/>
          <w:szCs w:val="24"/>
        </w:rPr>
        <w:t>备注:以上业绩证明材料需提供相关的合同复印件或报告封面及盖章相关页。</w:t>
      </w:r>
    </w:p>
    <w:p>
      <w:pPr>
        <w:pStyle w:val="4"/>
        <w:spacing w:line="360" w:lineRule="auto"/>
        <w:ind w:firstLine="480" w:firstLineChars="200"/>
        <w:rPr>
          <w:rFonts w:hint="eastAsia" w:ascii="宋体" w:hAnsi="宋体"/>
          <w:kern w:val="0"/>
          <w:sz w:val="24"/>
          <w:szCs w:val="24"/>
        </w:rPr>
      </w:pPr>
      <w:r>
        <w:rPr>
          <w:rFonts w:hint="eastAsia" w:ascii="宋体" w:hAnsi="宋体"/>
          <w:kern w:val="0"/>
          <w:sz w:val="24"/>
          <w:szCs w:val="24"/>
        </w:rPr>
        <w:t>（</w:t>
      </w:r>
      <w:r>
        <w:rPr>
          <w:rFonts w:hint="eastAsia" w:hAnsi="宋体"/>
          <w:kern w:val="0"/>
          <w:sz w:val="24"/>
          <w:szCs w:val="24"/>
          <w:lang w:val="en-US" w:eastAsia="zh-CN"/>
        </w:rPr>
        <w:t>三</w:t>
      </w:r>
      <w:r>
        <w:rPr>
          <w:rFonts w:hint="eastAsia" w:ascii="宋体" w:hAnsi="宋体"/>
          <w:kern w:val="0"/>
          <w:sz w:val="24"/>
          <w:szCs w:val="24"/>
        </w:rPr>
        <w:t>）2017年1月1日以来，有串通参选不良行为记录或涉嫌串通参选，并正在接受城市主管部门调查的参选申请人不得参选。</w:t>
      </w:r>
    </w:p>
    <w:p>
      <w:pPr>
        <w:pStyle w:val="4"/>
        <w:numPr>
          <w:ilvl w:val="0"/>
          <w:numId w:val="1"/>
        </w:numPr>
        <w:spacing w:line="360" w:lineRule="auto"/>
        <w:ind w:firstLine="480" w:firstLineChars="200"/>
        <w:rPr>
          <w:rFonts w:hint="eastAsia" w:hAnsi="宋体"/>
          <w:kern w:val="2"/>
          <w:sz w:val="24"/>
          <w:szCs w:val="24"/>
          <w:lang w:eastAsia="zh-CN"/>
        </w:rPr>
      </w:pPr>
      <w:r>
        <w:rPr>
          <w:rFonts w:hint="eastAsia" w:ascii="宋体" w:hAnsi="宋体"/>
          <w:kern w:val="0"/>
          <w:sz w:val="24"/>
          <w:szCs w:val="24"/>
        </w:rPr>
        <w:t>不接受联合体</w:t>
      </w:r>
      <w:r>
        <w:rPr>
          <w:rFonts w:hint="eastAsia" w:hAnsi="宋体"/>
          <w:kern w:val="0"/>
          <w:sz w:val="24"/>
          <w:szCs w:val="24"/>
          <w:lang w:val="en-US" w:eastAsia="zh-CN"/>
        </w:rPr>
        <w:t>参选</w:t>
      </w:r>
      <w:r>
        <w:rPr>
          <w:rFonts w:hint="eastAsia" w:ascii="宋体" w:hAnsi="宋体"/>
          <w:kern w:val="0"/>
          <w:sz w:val="24"/>
          <w:szCs w:val="24"/>
        </w:rPr>
        <w:t>。</w:t>
      </w:r>
    </w:p>
    <w:p>
      <w:pPr>
        <w:pStyle w:val="4"/>
        <w:numPr>
          <w:ilvl w:val="0"/>
          <w:numId w:val="0"/>
        </w:numPr>
        <w:spacing w:line="360" w:lineRule="auto"/>
        <w:ind w:firstLine="482" w:firstLineChars="200"/>
        <w:rPr>
          <w:rFonts w:hint="eastAsia" w:hAnsi="宋体"/>
          <w:kern w:val="2"/>
          <w:sz w:val="24"/>
          <w:szCs w:val="24"/>
          <w:lang w:eastAsia="zh-CN"/>
        </w:rPr>
      </w:pPr>
      <w:r>
        <w:rPr>
          <w:rFonts w:hint="eastAsia" w:hAnsi="宋体"/>
          <w:b/>
          <w:bCs/>
          <w:kern w:val="2"/>
          <w:sz w:val="24"/>
          <w:szCs w:val="24"/>
          <w:lang w:val="en-US" w:eastAsia="zh-CN"/>
        </w:rPr>
        <w:t>六</w:t>
      </w:r>
      <w:r>
        <w:rPr>
          <w:rFonts w:hint="eastAsia" w:hAnsi="宋体"/>
          <w:b/>
          <w:bCs/>
          <w:kern w:val="2"/>
          <w:sz w:val="24"/>
          <w:szCs w:val="24"/>
          <w:lang w:eastAsia="zh-CN"/>
        </w:rPr>
        <w:t>、评定标方法：</w:t>
      </w:r>
      <w:r>
        <w:rPr>
          <w:rFonts w:hint="eastAsia" w:hAnsi="宋体"/>
          <w:kern w:val="2"/>
          <w:sz w:val="24"/>
          <w:szCs w:val="24"/>
          <w:lang w:eastAsia="zh-CN"/>
        </w:rPr>
        <w:t>综合评估法</w:t>
      </w:r>
    </w:p>
    <w:p>
      <w:pPr>
        <w:pStyle w:val="4"/>
        <w:spacing w:line="360" w:lineRule="auto"/>
        <w:ind w:firstLine="482" w:firstLineChars="200"/>
        <w:rPr>
          <w:rFonts w:hint="eastAsia" w:hAnsi="宋体"/>
          <w:kern w:val="2"/>
          <w:sz w:val="24"/>
          <w:szCs w:val="24"/>
          <w:lang w:eastAsia="zh-CN"/>
        </w:rPr>
      </w:pPr>
      <w:r>
        <w:rPr>
          <w:rFonts w:hint="eastAsia" w:hAnsi="宋体"/>
          <w:b/>
          <w:bCs/>
          <w:kern w:val="2"/>
          <w:sz w:val="24"/>
          <w:szCs w:val="24"/>
          <w:lang w:val="en-US" w:eastAsia="zh-CN"/>
        </w:rPr>
        <w:t>七</w:t>
      </w:r>
      <w:r>
        <w:rPr>
          <w:rFonts w:hint="eastAsia" w:hAnsi="宋体"/>
          <w:b/>
          <w:bCs/>
          <w:kern w:val="2"/>
          <w:sz w:val="24"/>
          <w:szCs w:val="24"/>
          <w:lang w:eastAsia="zh-CN"/>
        </w:rPr>
        <w:t>、资格审查方式：</w:t>
      </w:r>
      <w:r>
        <w:rPr>
          <w:rFonts w:hint="eastAsia" w:hAnsi="宋体"/>
          <w:kern w:val="2"/>
          <w:sz w:val="24"/>
          <w:szCs w:val="24"/>
          <w:lang w:eastAsia="zh-CN"/>
        </w:rPr>
        <w:t>资格后审</w:t>
      </w:r>
    </w:p>
    <w:p>
      <w:pPr>
        <w:spacing w:line="360" w:lineRule="auto"/>
        <w:ind w:firstLine="482" w:firstLineChars="200"/>
        <w:jc w:val="left"/>
        <w:rPr>
          <w:rFonts w:ascii="宋体" w:hAnsi="宋体"/>
          <w:b/>
          <w:kern w:val="0"/>
          <w:sz w:val="24"/>
          <w:szCs w:val="24"/>
        </w:rPr>
      </w:pPr>
      <w:r>
        <w:rPr>
          <w:rFonts w:hint="eastAsia" w:ascii="宋体" w:hAnsi="宋体"/>
          <w:b/>
          <w:kern w:val="0"/>
          <w:sz w:val="24"/>
          <w:szCs w:val="24"/>
          <w:lang w:val="en-US" w:eastAsia="zh-CN"/>
        </w:rPr>
        <w:t>八</w:t>
      </w:r>
      <w:r>
        <w:rPr>
          <w:rFonts w:hint="eastAsia" w:ascii="宋体" w:hAnsi="宋体"/>
          <w:b/>
          <w:kern w:val="0"/>
          <w:sz w:val="24"/>
          <w:szCs w:val="24"/>
        </w:rPr>
        <w:t>、</w:t>
      </w:r>
      <w:r>
        <w:rPr>
          <w:rFonts w:hint="eastAsia" w:ascii="宋体" w:hAnsi="宋体"/>
          <w:b/>
          <w:kern w:val="0"/>
          <w:sz w:val="24"/>
          <w:szCs w:val="24"/>
          <w:lang w:val="en-US" w:eastAsia="zh-CN"/>
        </w:rPr>
        <w:t>参选</w:t>
      </w:r>
      <w:r>
        <w:rPr>
          <w:rFonts w:hint="eastAsia" w:ascii="宋体" w:hAnsi="宋体"/>
          <w:b/>
          <w:kern w:val="0"/>
          <w:sz w:val="24"/>
          <w:szCs w:val="24"/>
        </w:rPr>
        <w:t>时间</w:t>
      </w:r>
      <w:r>
        <w:rPr>
          <w:rFonts w:ascii="宋体" w:hAnsi="宋体"/>
          <w:b/>
          <w:kern w:val="0"/>
          <w:sz w:val="24"/>
          <w:szCs w:val="24"/>
        </w:rPr>
        <w:t>、地点</w:t>
      </w:r>
    </w:p>
    <w:tbl>
      <w:tblPr>
        <w:tblStyle w:val="5"/>
        <w:tblW w:w="904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09"/>
        <w:gridCol w:w="1701"/>
        <w:gridCol w:w="2276"/>
        <w:gridCol w:w="435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0" w:hRule="atLeast"/>
          <w:jc w:val="center"/>
        </w:trPr>
        <w:tc>
          <w:tcPr>
            <w:tcW w:w="709" w:type="dxa"/>
            <w:tcBorders>
              <w:top w:val="single" w:color="auto" w:sz="4" w:space="0"/>
              <w:left w:val="single" w:color="auto" w:sz="4" w:space="0"/>
              <w:bottom w:val="single" w:color="auto" w:sz="4" w:space="0"/>
              <w:right w:val="single" w:color="auto" w:sz="4" w:space="0"/>
            </w:tcBorders>
            <w:shd w:val="clear" w:color="auto" w:fill="808080"/>
          </w:tcPr>
          <w:p>
            <w:pPr>
              <w:pStyle w:val="3"/>
              <w:adjustRightInd w:val="0"/>
              <w:snapToGrid w:val="0"/>
              <w:spacing w:line="240" w:lineRule="auto"/>
              <w:ind w:left="0" w:leftChars="0" w:firstLine="0" w:firstLineChars="0"/>
              <w:jc w:val="center"/>
              <w:rPr>
                <w:rFonts w:ascii="楷体" w:hAnsi="楷体" w:eastAsia="楷体"/>
                <w:bCs/>
                <w:color w:val="FFFFFF"/>
                <w:kern w:val="2"/>
                <w:sz w:val="21"/>
                <w:szCs w:val="24"/>
                <w:lang w:val="en-US" w:eastAsia="zh-CN"/>
              </w:rPr>
            </w:pPr>
            <w:r>
              <w:rPr>
                <w:rFonts w:hint="eastAsia" w:ascii="楷体" w:hAnsi="楷体" w:eastAsia="楷体"/>
                <w:bCs/>
                <w:color w:val="FFFFFF"/>
                <w:kern w:val="2"/>
                <w:sz w:val="21"/>
                <w:szCs w:val="24"/>
                <w:lang w:val="en-US" w:eastAsia="zh-CN"/>
              </w:rPr>
              <w:t>序号</w:t>
            </w:r>
          </w:p>
        </w:tc>
        <w:tc>
          <w:tcPr>
            <w:tcW w:w="1701" w:type="dxa"/>
            <w:tcBorders>
              <w:top w:val="single" w:color="auto" w:sz="4" w:space="0"/>
              <w:left w:val="single" w:color="auto" w:sz="4" w:space="0"/>
              <w:bottom w:val="single" w:color="auto" w:sz="4" w:space="0"/>
              <w:right w:val="single" w:color="auto" w:sz="4" w:space="0"/>
            </w:tcBorders>
            <w:shd w:val="clear" w:color="auto" w:fill="808080"/>
          </w:tcPr>
          <w:p>
            <w:pPr>
              <w:pStyle w:val="3"/>
              <w:adjustRightInd w:val="0"/>
              <w:snapToGrid w:val="0"/>
              <w:spacing w:line="240" w:lineRule="auto"/>
              <w:ind w:left="0" w:leftChars="0" w:firstLine="0" w:firstLineChars="0"/>
              <w:jc w:val="center"/>
              <w:rPr>
                <w:rFonts w:ascii="楷体" w:hAnsi="楷体" w:eastAsia="楷体"/>
                <w:bCs/>
                <w:color w:val="FFFFFF"/>
                <w:kern w:val="2"/>
                <w:sz w:val="21"/>
                <w:szCs w:val="24"/>
                <w:lang w:val="en-US" w:eastAsia="zh-CN"/>
              </w:rPr>
            </w:pPr>
            <w:r>
              <w:rPr>
                <w:rFonts w:hint="eastAsia" w:ascii="楷体" w:hAnsi="楷体" w:eastAsia="楷体"/>
                <w:bCs/>
                <w:color w:val="FFFFFF"/>
                <w:kern w:val="2"/>
                <w:sz w:val="21"/>
                <w:szCs w:val="24"/>
                <w:lang w:val="en-US" w:eastAsia="zh-CN"/>
              </w:rPr>
              <w:t>内  容</w:t>
            </w:r>
          </w:p>
        </w:tc>
        <w:tc>
          <w:tcPr>
            <w:tcW w:w="2276" w:type="dxa"/>
            <w:tcBorders>
              <w:top w:val="single" w:color="auto" w:sz="4" w:space="0"/>
              <w:left w:val="single" w:color="auto" w:sz="4" w:space="0"/>
              <w:bottom w:val="single" w:color="auto" w:sz="4" w:space="0"/>
              <w:right w:val="single" w:color="auto" w:sz="4" w:space="0"/>
            </w:tcBorders>
            <w:shd w:val="clear" w:color="auto" w:fill="808080"/>
          </w:tcPr>
          <w:p>
            <w:pPr>
              <w:pStyle w:val="3"/>
              <w:adjustRightInd w:val="0"/>
              <w:snapToGrid w:val="0"/>
              <w:spacing w:line="240" w:lineRule="auto"/>
              <w:ind w:left="0" w:leftChars="0" w:firstLine="0" w:firstLineChars="0"/>
              <w:jc w:val="center"/>
              <w:rPr>
                <w:rFonts w:ascii="楷体" w:hAnsi="楷体" w:eastAsia="楷体"/>
                <w:bCs/>
                <w:color w:val="FFFFFF"/>
                <w:kern w:val="2"/>
                <w:sz w:val="21"/>
                <w:szCs w:val="24"/>
                <w:lang w:val="en-US" w:eastAsia="zh-CN"/>
              </w:rPr>
            </w:pPr>
            <w:r>
              <w:rPr>
                <w:rFonts w:hint="eastAsia" w:ascii="楷体" w:hAnsi="楷体" w:eastAsia="楷体"/>
                <w:bCs/>
                <w:color w:val="FFFFFF"/>
                <w:kern w:val="2"/>
                <w:sz w:val="21"/>
                <w:szCs w:val="24"/>
                <w:lang w:val="en-US" w:eastAsia="zh-CN"/>
              </w:rPr>
              <w:t>时间安排</w:t>
            </w:r>
          </w:p>
        </w:tc>
        <w:tc>
          <w:tcPr>
            <w:tcW w:w="4356" w:type="dxa"/>
            <w:tcBorders>
              <w:top w:val="single" w:color="auto" w:sz="4" w:space="0"/>
              <w:left w:val="single" w:color="auto" w:sz="4" w:space="0"/>
              <w:bottom w:val="single" w:color="auto" w:sz="4" w:space="0"/>
              <w:right w:val="single" w:color="auto" w:sz="4" w:space="0"/>
            </w:tcBorders>
            <w:shd w:val="clear" w:color="auto" w:fill="808080"/>
          </w:tcPr>
          <w:p>
            <w:pPr>
              <w:pStyle w:val="3"/>
              <w:adjustRightInd w:val="0"/>
              <w:snapToGrid w:val="0"/>
              <w:spacing w:line="240" w:lineRule="auto"/>
              <w:ind w:left="0" w:leftChars="0" w:firstLine="0" w:firstLineChars="0"/>
              <w:jc w:val="center"/>
              <w:rPr>
                <w:rFonts w:ascii="楷体" w:hAnsi="楷体" w:eastAsia="楷体"/>
                <w:bCs/>
                <w:color w:val="FFFFFF"/>
                <w:kern w:val="2"/>
                <w:sz w:val="21"/>
                <w:szCs w:val="24"/>
                <w:lang w:val="en-US" w:eastAsia="zh-CN"/>
              </w:rPr>
            </w:pPr>
            <w:r>
              <w:rPr>
                <w:rFonts w:hint="eastAsia" w:ascii="楷体" w:hAnsi="楷体" w:eastAsia="楷体"/>
                <w:bCs/>
                <w:color w:val="FFFFFF"/>
                <w:kern w:val="2"/>
                <w:sz w:val="21"/>
                <w:szCs w:val="24"/>
                <w:lang w:val="en-US" w:eastAsia="zh-CN"/>
              </w:rPr>
              <w:t>备  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1"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hint="default" w:ascii="宋体" w:hAnsi="宋体"/>
                <w:bCs/>
                <w:kern w:val="2"/>
                <w:sz w:val="24"/>
                <w:szCs w:val="24"/>
                <w:lang w:val="en-US" w:eastAsia="zh-CN"/>
              </w:rPr>
            </w:pPr>
            <w:r>
              <w:rPr>
                <w:rFonts w:hint="eastAsia" w:ascii="宋体" w:hAnsi="宋体"/>
                <w:bCs/>
                <w:kern w:val="2"/>
                <w:sz w:val="24"/>
                <w:szCs w:val="24"/>
                <w:lang w:val="en-US" w:eastAsia="zh-CN"/>
              </w:rPr>
              <w:t>1</w:t>
            </w:r>
          </w:p>
        </w:tc>
        <w:tc>
          <w:tcPr>
            <w:tcW w:w="1701"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hint="default" w:ascii="宋体" w:hAnsi="宋体"/>
                <w:bCs/>
                <w:kern w:val="2"/>
                <w:sz w:val="24"/>
                <w:szCs w:val="24"/>
                <w:lang w:val="en-US" w:eastAsia="zh-CN"/>
              </w:rPr>
            </w:pPr>
            <w:r>
              <w:rPr>
                <w:rFonts w:hint="eastAsia" w:ascii="宋体" w:hAnsi="宋体"/>
                <w:bCs/>
                <w:kern w:val="2"/>
                <w:sz w:val="24"/>
                <w:szCs w:val="24"/>
                <w:lang w:val="en-US" w:eastAsia="zh-CN"/>
              </w:rPr>
              <w:t>发布比选公告、发标</w:t>
            </w:r>
          </w:p>
        </w:tc>
        <w:tc>
          <w:tcPr>
            <w:tcW w:w="227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宋体" w:hAnsi="宋体" w:eastAsia="宋体"/>
                <w:bCs/>
                <w:sz w:val="24"/>
                <w:szCs w:val="24"/>
                <w:lang w:val="en-US" w:eastAsia="zh-CN"/>
              </w:rPr>
            </w:pPr>
            <w:r>
              <w:rPr>
                <w:rFonts w:hint="eastAsia" w:ascii="宋体" w:hAnsi="宋体"/>
                <w:bCs/>
                <w:sz w:val="24"/>
                <w:szCs w:val="24"/>
              </w:rPr>
              <w:t>6月</w:t>
            </w:r>
            <w:r>
              <w:rPr>
                <w:rFonts w:hint="eastAsia" w:ascii="宋体" w:hAnsi="宋体"/>
                <w:bCs/>
                <w:sz w:val="24"/>
                <w:szCs w:val="24"/>
                <w:lang w:val="en-US" w:eastAsia="zh-CN"/>
              </w:rPr>
              <w:t>11</w:t>
            </w:r>
            <w:r>
              <w:rPr>
                <w:rFonts w:hint="eastAsia" w:ascii="宋体" w:hAnsi="宋体"/>
                <w:bCs/>
                <w:sz w:val="24"/>
                <w:szCs w:val="24"/>
              </w:rPr>
              <w:t>日</w:t>
            </w:r>
          </w:p>
        </w:tc>
        <w:tc>
          <w:tcPr>
            <w:tcW w:w="4356"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
              <w:adjustRightInd w:val="0"/>
              <w:snapToGrid w:val="0"/>
              <w:spacing w:line="240" w:lineRule="auto"/>
              <w:ind w:left="540" w:leftChars="44" w:hanging="448" w:hangingChars="187"/>
              <w:jc w:val="center"/>
              <w:rPr>
                <w:rFonts w:hint="eastAsia" w:ascii="宋体" w:hAnsi="宋体"/>
                <w:bCs/>
                <w:kern w:val="2"/>
                <w:sz w:val="24"/>
                <w:szCs w:val="24"/>
                <w:lang w:val="en-US" w:eastAsia="zh-CN"/>
              </w:rPr>
            </w:pPr>
            <w:r>
              <w:rPr>
                <w:rFonts w:hint="eastAsia" w:ascii="宋体" w:hAnsi="宋体"/>
                <w:bCs/>
                <w:kern w:val="2"/>
                <w:sz w:val="24"/>
                <w:szCs w:val="24"/>
                <w:lang w:val="en-US" w:eastAsia="zh-CN"/>
              </w:rPr>
              <w:t>深圳市地铁集团有限公司外网</w:t>
            </w:r>
            <w:r>
              <w:rPr>
                <w:rFonts w:hint="eastAsia" w:ascii="宋体" w:hAnsi="宋体"/>
                <w:color w:val="000000"/>
                <w:sz w:val="24"/>
                <w:szCs w:val="24"/>
                <w:lang w:val="en-US" w:eastAsia="zh-CN"/>
              </w:rPr>
              <w:t>、</w:t>
            </w:r>
            <w:r>
              <w:rPr>
                <w:rFonts w:hint="eastAsia" w:ascii="宋体" w:hAnsi="宋体"/>
                <w:bCs/>
                <w:kern w:val="2"/>
                <w:sz w:val="24"/>
                <w:szCs w:val="24"/>
                <w:lang w:val="en-US" w:eastAsia="zh-CN"/>
              </w:rPr>
              <w:t>国资委</w:t>
            </w:r>
            <w:r>
              <w:rPr>
                <w:rFonts w:ascii="宋体" w:hAnsi="宋体"/>
                <w:bCs/>
                <w:kern w:val="2"/>
                <w:sz w:val="24"/>
                <w:szCs w:val="24"/>
                <w:lang w:val="en-US" w:eastAsia="zh-CN"/>
              </w:rPr>
              <w:t>阳光采购平台</w:t>
            </w:r>
            <w:r>
              <w:rPr>
                <w:rFonts w:hint="eastAsia" w:ascii="宋体" w:hAnsi="宋体"/>
                <w:bCs/>
                <w:kern w:val="2"/>
                <w:sz w:val="24"/>
                <w:szCs w:val="24"/>
                <w:lang w:val="en-US" w:eastAsia="zh-CN"/>
              </w:rPr>
              <w:t>、深铁置业微信订阅号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71"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ascii="宋体" w:hAnsi="宋体"/>
                <w:bCs/>
                <w:kern w:val="2"/>
                <w:sz w:val="24"/>
                <w:szCs w:val="24"/>
                <w:lang w:val="en-US" w:eastAsia="zh-CN"/>
              </w:rPr>
            </w:pPr>
            <w:r>
              <w:rPr>
                <w:rFonts w:hint="eastAsia" w:ascii="宋体" w:hAnsi="宋体"/>
                <w:bCs/>
                <w:kern w:val="2"/>
                <w:sz w:val="24"/>
                <w:szCs w:val="24"/>
                <w:lang w:val="en-US" w:eastAsia="zh-CN"/>
              </w:rPr>
              <w:t>2</w:t>
            </w:r>
          </w:p>
        </w:tc>
        <w:tc>
          <w:tcPr>
            <w:tcW w:w="1701"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ascii="宋体" w:hAnsi="宋体"/>
                <w:bCs/>
                <w:kern w:val="2"/>
                <w:sz w:val="24"/>
                <w:szCs w:val="24"/>
                <w:lang w:val="en-US" w:eastAsia="zh-CN"/>
              </w:rPr>
            </w:pPr>
            <w:r>
              <w:rPr>
                <w:rFonts w:ascii="宋体" w:hAnsi="宋体"/>
                <w:bCs/>
                <w:kern w:val="2"/>
                <w:sz w:val="24"/>
                <w:szCs w:val="24"/>
                <w:lang w:val="en-US" w:eastAsia="zh-CN"/>
              </w:rPr>
              <w:t>截</w:t>
            </w:r>
            <w:r>
              <w:rPr>
                <w:rFonts w:hint="eastAsia" w:ascii="宋体" w:hAnsi="宋体"/>
                <w:bCs/>
                <w:kern w:val="2"/>
                <w:sz w:val="24"/>
                <w:szCs w:val="24"/>
                <w:lang w:val="en-US" w:eastAsia="zh-CN"/>
              </w:rPr>
              <w:t>标</w:t>
            </w:r>
          </w:p>
        </w:tc>
        <w:tc>
          <w:tcPr>
            <w:tcW w:w="227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bCs/>
                <w:sz w:val="24"/>
                <w:szCs w:val="24"/>
              </w:rPr>
            </w:pPr>
            <w:r>
              <w:rPr>
                <w:rFonts w:hint="eastAsia" w:ascii="宋体" w:hAnsi="宋体"/>
                <w:bCs/>
                <w:sz w:val="24"/>
                <w:szCs w:val="24"/>
              </w:rPr>
              <w:t>6月</w:t>
            </w:r>
            <w:r>
              <w:rPr>
                <w:rFonts w:hint="eastAsia" w:ascii="宋体" w:hAnsi="宋体"/>
                <w:bCs/>
                <w:sz w:val="24"/>
                <w:szCs w:val="24"/>
                <w:lang w:val="en-US" w:eastAsia="zh-CN"/>
              </w:rPr>
              <w:t>30</w:t>
            </w:r>
            <w:r>
              <w:rPr>
                <w:rFonts w:hint="eastAsia" w:ascii="宋体" w:hAnsi="宋体"/>
                <w:bCs/>
                <w:sz w:val="24"/>
                <w:szCs w:val="24"/>
              </w:rPr>
              <w:t>日上午0</w:t>
            </w:r>
            <w:r>
              <w:rPr>
                <w:rFonts w:ascii="宋体" w:hAnsi="宋体"/>
                <w:bCs/>
                <w:sz w:val="24"/>
                <w:szCs w:val="24"/>
              </w:rPr>
              <w:t>9</w:t>
            </w:r>
            <w:r>
              <w:rPr>
                <w:rFonts w:hint="eastAsia" w:ascii="宋体" w:hAnsi="宋体"/>
                <w:bCs/>
                <w:sz w:val="24"/>
                <w:szCs w:val="24"/>
              </w:rPr>
              <w:t>:30</w:t>
            </w:r>
          </w:p>
        </w:tc>
        <w:tc>
          <w:tcPr>
            <w:tcW w:w="4356"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141" w:leftChars="67" w:firstLine="0" w:firstLineChars="0"/>
              <w:jc w:val="center"/>
              <w:rPr>
                <w:rFonts w:ascii="宋体" w:hAnsi="宋体"/>
                <w:bCs/>
                <w:kern w:val="2"/>
                <w:sz w:val="24"/>
                <w:szCs w:val="24"/>
                <w:lang w:val="en-US" w:eastAsia="zh-CN"/>
              </w:rPr>
            </w:pPr>
            <w:r>
              <w:rPr>
                <w:rFonts w:hint="eastAsia" w:ascii="宋体" w:hAnsi="宋体"/>
                <w:bCs/>
                <w:kern w:val="2"/>
                <w:sz w:val="24"/>
                <w:szCs w:val="24"/>
                <w:lang w:val="en-US" w:eastAsia="zh-CN"/>
              </w:rPr>
              <w:t>参选文件</w:t>
            </w:r>
            <w:r>
              <w:rPr>
                <w:rFonts w:ascii="宋体" w:hAnsi="宋体"/>
                <w:bCs/>
                <w:kern w:val="2"/>
                <w:sz w:val="24"/>
                <w:szCs w:val="24"/>
                <w:lang w:val="en-US" w:eastAsia="zh-CN"/>
              </w:rPr>
              <w:t>递交</w:t>
            </w:r>
            <w:r>
              <w:rPr>
                <w:rFonts w:hint="eastAsia" w:ascii="宋体" w:hAnsi="宋体"/>
                <w:bCs/>
                <w:kern w:val="2"/>
                <w:sz w:val="24"/>
                <w:szCs w:val="24"/>
                <w:lang w:val="en-US" w:eastAsia="zh-CN"/>
              </w:rPr>
              <w:t>地点：地铁大厦会议室（另行通知）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50" w:hRule="atLeast"/>
          <w:jc w:val="center"/>
        </w:trPr>
        <w:tc>
          <w:tcPr>
            <w:tcW w:w="709"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ascii="宋体" w:hAnsi="宋体"/>
                <w:bCs/>
                <w:kern w:val="2"/>
                <w:sz w:val="24"/>
                <w:szCs w:val="24"/>
                <w:lang w:val="en-US" w:eastAsia="zh-CN"/>
              </w:rPr>
            </w:pPr>
            <w:r>
              <w:rPr>
                <w:rFonts w:hint="eastAsia" w:ascii="宋体" w:hAnsi="宋体"/>
                <w:bCs/>
                <w:kern w:val="2"/>
                <w:sz w:val="24"/>
                <w:szCs w:val="24"/>
                <w:lang w:val="en-US" w:eastAsia="zh-CN"/>
              </w:rPr>
              <w:t>3</w:t>
            </w:r>
          </w:p>
        </w:tc>
        <w:tc>
          <w:tcPr>
            <w:tcW w:w="1701"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0" w:leftChars="0" w:firstLine="0" w:firstLineChars="0"/>
              <w:jc w:val="center"/>
              <w:rPr>
                <w:rFonts w:ascii="宋体" w:hAnsi="宋体"/>
                <w:bCs/>
                <w:kern w:val="2"/>
                <w:sz w:val="24"/>
                <w:szCs w:val="24"/>
                <w:lang w:val="en-US" w:eastAsia="zh-CN"/>
              </w:rPr>
            </w:pPr>
            <w:r>
              <w:rPr>
                <w:rFonts w:ascii="宋体" w:hAnsi="宋体"/>
                <w:bCs/>
                <w:kern w:val="2"/>
                <w:sz w:val="24"/>
                <w:szCs w:val="24"/>
                <w:lang w:val="en-US" w:eastAsia="zh-CN"/>
              </w:rPr>
              <w:t>开标</w:t>
            </w:r>
          </w:p>
        </w:tc>
        <w:tc>
          <w:tcPr>
            <w:tcW w:w="227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宋体" w:hAnsi="宋体" w:eastAsia="宋体"/>
                <w:bCs/>
                <w:sz w:val="24"/>
                <w:szCs w:val="24"/>
                <w:lang w:val="en-US" w:eastAsia="zh-CN"/>
              </w:rPr>
            </w:pPr>
            <w:r>
              <w:rPr>
                <w:rFonts w:hint="eastAsia" w:ascii="宋体" w:hAnsi="宋体"/>
                <w:bCs/>
                <w:sz w:val="24"/>
                <w:szCs w:val="24"/>
              </w:rPr>
              <w:t>6月</w:t>
            </w:r>
            <w:r>
              <w:rPr>
                <w:rFonts w:hint="eastAsia" w:ascii="宋体" w:hAnsi="宋体"/>
                <w:bCs/>
                <w:sz w:val="24"/>
                <w:szCs w:val="24"/>
                <w:lang w:val="en-US" w:eastAsia="zh-CN"/>
              </w:rPr>
              <w:t>30</w:t>
            </w:r>
            <w:r>
              <w:rPr>
                <w:rFonts w:hint="eastAsia" w:ascii="宋体" w:hAnsi="宋体"/>
                <w:bCs/>
                <w:sz w:val="24"/>
                <w:szCs w:val="24"/>
              </w:rPr>
              <w:t>日上午09:</w:t>
            </w:r>
            <w:r>
              <w:rPr>
                <w:rFonts w:hint="eastAsia" w:ascii="宋体" w:hAnsi="宋体"/>
                <w:bCs/>
                <w:sz w:val="24"/>
                <w:szCs w:val="24"/>
                <w:lang w:val="en-US" w:eastAsia="zh-CN"/>
              </w:rPr>
              <w:t>30</w:t>
            </w:r>
          </w:p>
        </w:tc>
        <w:tc>
          <w:tcPr>
            <w:tcW w:w="4356" w:type="dxa"/>
            <w:tcBorders>
              <w:top w:val="single" w:color="auto" w:sz="4" w:space="0"/>
              <w:left w:val="single" w:color="auto" w:sz="4" w:space="0"/>
              <w:bottom w:val="single" w:color="auto" w:sz="4" w:space="0"/>
              <w:right w:val="single" w:color="auto" w:sz="4" w:space="0"/>
            </w:tcBorders>
            <w:vAlign w:val="center"/>
          </w:tcPr>
          <w:p>
            <w:pPr>
              <w:pStyle w:val="3"/>
              <w:adjustRightInd w:val="0"/>
              <w:snapToGrid w:val="0"/>
              <w:spacing w:line="240" w:lineRule="auto"/>
              <w:ind w:left="143" w:leftChars="68" w:firstLine="38" w:firstLineChars="16"/>
              <w:jc w:val="center"/>
              <w:rPr>
                <w:rFonts w:ascii="宋体" w:hAnsi="宋体"/>
                <w:bCs/>
                <w:kern w:val="2"/>
                <w:sz w:val="24"/>
                <w:szCs w:val="24"/>
                <w:lang w:val="en-US" w:eastAsia="zh-CN"/>
              </w:rPr>
            </w:pPr>
            <w:r>
              <w:rPr>
                <w:rFonts w:hint="eastAsia" w:ascii="宋体" w:hAnsi="宋体"/>
                <w:bCs/>
                <w:kern w:val="2"/>
                <w:sz w:val="24"/>
                <w:szCs w:val="24"/>
                <w:lang w:val="en-US" w:eastAsia="zh-CN"/>
              </w:rPr>
              <w:t>开标地点：地铁大厦会议室（另行通知）</w:t>
            </w:r>
          </w:p>
        </w:tc>
      </w:tr>
    </w:tbl>
    <w:p>
      <w:pPr>
        <w:spacing w:line="360" w:lineRule="auto"/>
        <w:ind w:firstLine="482" w:firstLineChars="200"/>
        <w:jc w:val="left"/>
        <w:rPr>
          <w:rFonts w:ascii="宋体" w:hAnsi="宋体"/>
          <w:b/>
          <w:kern w:val="0"/>
          <w:sz w:val="24"/>
          <w:szCs w:val="24"/>
        </w:rPr>
      </w:pPr>
      <w:r>
        <w:rPr>
          <w:rFonts w:hint="eastAsia" w:ascii="宋体" w:hAnsi="宋体"/>
          <w:b/>
          <w:kern w:val="0"/>
          <w:sz w:val="24"/>
          <w:szCs w:val="24"/>
          <w:lang w:val="en-US" w:eastAsia="zh-CN"/>
        </w:rPr>
        <w:t>九</w:t>
      </w:r>
      <w:r>
        <w:rPr>
          <w:rFonts w:ascii="宋体" w:hAnsi="宋体"/>
          <w:b/>
          <w:kern w:val="0"/>
          <w:sz w:val="24"/>
          <w:szCs w:val="24"/>
        </w:rPr>
        <w:t>、</w:t>
      </w:r>
      <w:r>
        <w:rPr>
          <w:rFonts w:hint="eastAsia" w:ascii="宋体" w:hAnsi="宋体"/>
          <w:b/>
          <w:kern w:val="0"/>
          <w:sz w:val="24"/>
          <w:szCs w:val="24"/>
          <w:lang w:val="en-US" w:eastAsia="zh-CN"/>
        </w:rPr>
        <w:t>参选</w:t>
      </w:r>
      <w:r>
        <w:rPr>
          <w:rFonts w:hint="eastAsia" w:ascii="宋体" w:hAnsi="宋体"/>
          <w:b/>
          <w:kern w:val="0"/>
          <w:sz w:val="24"/>
          <w:szCs w:val="24"/>
        </w:rPr>
        <w:t>所需材料：</w:t>
      </w:r>
    </w:p>
    <w:p>
      <w:pPr>
        <w:pStyle w:val="4"/>
        <w:spacing w:line="360" w:lineRule="auto"/>
        <w:ind w:firstLine="480" w:firstLineChars="200"/>
        <w:rPr>
          <w:rFonts w:hint="eastAsia" w:hAnsi="宋体"/>
          <w:sz w:val="24"/>
          <w:szCs w:val="24"/>
        </w:rPr>
      </w:pPr>
      <w:r>
        <w:rPr>
          <w:rFonts w:hint="eastAsia" w:hAnsi="宋体"/>
          <w:sz w:val="24"/>
          <w:szCs w:val="24"/>
        </w:rPr>
        <w:t>(一)根据比选文件编制的</w:t>
      </w:r>
      <w:r>
        <w:rPr>
          <w:rFonts w:hint="eastAsia" w:hAnsi="宋体"/>
          <w:sz w:val="24"/>
          <w:szCs w:val="24"/>
          <w:lang w:val="en-US" w:eastAsia="zh-CN"/>
        </w:rPr>
        <w:t>参</w:t>
      </w:r>
      <w:r>
        <w:rPr>
          <w:rFonts w:hint="eastAsia" w:hAnsi="宋体"/>
          <w:sz w:val="24"/>
          <w:szCs w:val="24"/>
        </w:rPr>
        <w:t>选文件。</w:t>
      </w:r>
    </w:p>
    <w:p>
      <w:pPr>
        <w:pStyle w:val="4"/>
        <w:spacing w:line="360" w:lineRule="auto"/>
        <w:ind w:firstLine="480" w:firstLineChars="200"/>
        <w:rPr>
          <w:rFonts w:hint="eastAsia" w:hAnsi="宋体"/>
          <w:sz w:val="24"/>
          <w:szCs w:val="24"/>
        </w:rPr>
      </w:pPr>
      <w:r>
        <w:rPr>
          <w:rFonts w:hint="eastAsia" w:hAnsi="宋体"/>
          <w:sz w:val="24"/>
          <w:szCs w:val="24"/>
        </w:rPr>
        <w:t>(二)如递交</w:t>
      </w:r>
      <w:r>
        <w:rPr>
          <w:rFonts w:hint="eastAsia" w:hAnsi="宋体"/>
          <w:sz w:val="24"/>
          <w:szCs w:val="24"/>
          <w:lang w:val="en-US" w:eastAsia="zh-CN"/>
        </w:rPr>
        <w:t>参</w:t>
      </w:r>
      <w:r>
        <w:rPr>
          <w:rFonts w:hint="eastAsia" w:hAnsi="宋体"/>
          <w:sz w:val="24"/>
          <w:szCs w:val="24"/>
        </w:rPr>
        <w:t>选文件的参选人为参选单位的法定代表人，须携带法定代表人证明书及本人身份证原件和复印件；如递交</w:t>
      </w:r>
      <w:r>
        <w:rPr>
          <w:rFonts w:hint="eastAsia" w:hAnsi="宋体"/>
          <w:sz w:val="24"/>
          <w:szCs w:val="24"/>
          <w:lang w:val="en-US" w:eastAsia="zh-CN"/>
        </w:rPr>
        <w:t>参</w:t>
      </w:r>
      <w:r>
        <w:rPr>
          <w:rFonts w:hint="eastAsia" w:hAnsi="宋体"/>
          <w:sz w:val="24"/>
          <w:szCs w:val="24"/>
        </w:rPr>
        <w:t>选文件的参选人不是法定代表人（负责人），除携带本人身份证复印件外，还需携带法定代表人（负责人）证明书和法定代表人（负责人）身份证复印件及授权委托书。</w:t>
      </w:r>
    </w:p>
    <w:p>
      <w:pPr>
        <w:pStyle w:val="4"/>
        <w:spacing w:line="360" w:lineRule="auto"/>
        <w:ind w:firstLine="482" w:firstLineChars="200"/>
        <w:rPr>
          <w:rFonts w:hAnsi="宋体"/>
          <w:b/>
          <w:sz w:val="24"/>
          <w:szCs w:val="24"/>
        </w:rPr>
      </w:pPr>
      <w:r>
        <w:rPr>
          <w:rFonts w:hint="eastAsia" w:hAnsi="宋体"/>
          <w:b/>
          <w:sz w:val="24"/>
          <w:szCs w:val="24"/>
          <w:lang w:val="en-US" w:eastAsia="zh-CN"/>
        </w:rPr>
        <w:t>十</w:t>
      </w:r>
      <w:r>
        <w:rPr>
          <w:rFonts w:hint="eastAsia" w:hAnsi="宋体"/>
          <w:b/>
          <w:sz w:val="24"/>
          <w:szCs w:val="24"/>
        </w:rPr>
        <w:t>、</w:t>
      </w:r>
      <w:r>
        <w:rPr>
          <w:rFonts w:hint="eastAsia" w:hAnsi="宋体"/>
          <w:b/>
          <w:sz w:val="24"/>
          <w:szCs w:val="24"/>
          <w:lang w:val="en-US" w:eastAsia="zh-CN"/>
        </w:rPr>
        <w:t>比选</w:t>
      </w:r>
      <w:r>
        <w:rPr>
          <w:rFonts w:hint="eastAsia" w:hAnsi="宋体"/>
          <w:b/>
          <w:sz w:val="24"/>
          <w:szCs w:val="24"/>
        </w:rPr>
        <w:t>联系人</w:t>
      </w:r>
    </w:p>
    <w:p>
      <w:pPr>
        <w:pStyle w:val="4"/>
        <w:spacing w:line="360" w:lineRule="auto"/>
        <w:ind w:firstLine="480" w:firstLineChars="200"/>
        <w:rPr>
          <w:rFonts w:hAnsi="宋体"/>
          <w:sz w:val="24"/>
        </w:rPr>
      </w:pPr>
      <w:r>
        <w:rPr>
          <w:rFonts w:hint="eastAsia" w:hAnsi="宋体"/>
          <w:sz w:val="24"/>
          <w:szCs w:val="24"/>
        </w:rPr>
        <w:t>联系人：</w:t>
      </w:r>
      <w:r>
        <w:rPr>
          <w:rFonts w:hint="eastAsia" w:hAnsi="宋体"/>
          <w:sz w:val="24"/>
          <w:lang w:val="en-US" w:eastAsia="zh-CN"/>
        </w:rPr>
        <w:t>谢先生</w:t>
      </w:r>
      <w:r>
        <w:rPr>
          <w:rFonts w:hint="eastAsia" w:hAnsi="宋体"/>
          <w:sz w:val="24"/>
        </w:rPr>
        <w:t xml:space="preserve">     </w:t>
      </w:r>
    </w:p>
    <w:p>
      <w:pPr>
        <w:pStyle w:val="4"/>
        <w:spacing w:line="360" w:lineRule="auto"/>
        <w:ind w:firstLine="480" w:firstLineChars="200"/>
        <w:rPr>
          <w:rFonts w:hAnsi="宋体"/>
          <w:sz w:val="24"/>
        </w:rPr>
      </w:pPr>
      <w:r>
        <w:rPr>
          <w:rFonts w:hint="eastAsia" w:hAnsi="宋体"/>
          <w:sz w:val="24"/>
          <w:szCs w:val="24"/>
        </w:rPr>
        <w:t>联系电话：</w:t>
      </w:r>
      <w:r>
        <w:rPr>
          <w:rFonts w:hint="eastAsia" w:hAnsi="宋体"/>
          <w:sz w:val="24"/>
          <w:szCs w:val="24"/>
          <w:lang w:val="en-US" w:eastAsia="zh-CN"/>
        </w:rPr>
        <w:t>0755-23882575</w:t>
      </w:r>
      <w:r>
        <w:rPr>
          <w:rFonts w:hAnsi="宋体"/>
          <w:sz w:val="24"/>
          <w:szCs w:val="24"/>
        </w:rPr>
        <w:t xml:space="preserve">  </w:t>
      </w:r>
    </w:p>
    <w:p>
      <w:pPr>
        <w:pStyle w:val="4"/>
        <w:spacing w:line="360" w:lineRule="auto"/>
        <w:ind w:firstLine="480" w:firstLineChars="200"/>
        <w:rPr>
          <w:rFonts w:hAnsi="宋体"/>
          <w:sz w:val="24"/>
        </w:rPr>
      </w:pPr>
    </w:p>
    <w:p>
      <w:pPr>
        <w:pStyle w:val="4"/>
        <w:spacing w:line="360" w:lineRule="auto"/>
        <w:ind w:firstLine="480" w:firstLineChars="200"/>
        <w:rPr>
          <w:rFonts w:hAnsi="宋体"/>
          <w:sz w:val="24"/>
        </w:rPr>
      </w:pPr>
    </w:p>
    <w:p>
      <w:pPr>
        <w:pStyle w:val="4"/>
        <w:spacing w:line="360" w:lineRule="auto"/>
        <w:ind w:firstLine="480" w:firstLineChars="200"/>
        <w:rPr>
          <w:rFonts w:hint="eastAsia" w:hAnsi="宋体"/>
          <w:sz w:val="24"/>
          <w:lang w:eastAsia="zh-CN"/>
        </w:rPr>
      </w:pPr>
    </w:p>
    <w:p>
      <w:pPr>
        <w:pStyle w:val="4"/>
        <w:wordWrap w:val="0"/>
        <w:spacing w:line="360" w:lineRule="auto"/>
        <w:ind w:right="240" w:firstLine="480" w:firstLineChars="200"/>
        <w:jc w:val="right"/>
        <w:rPr>
          <w:rFonts w:hint="eastAsia" w:hAnsi="宋体"/>
          <w:sz w:val="24"/>
          <w:szCs w:val="24"/>
        </w:rPr>
      </w:pPr>
      <w:r>
        <w:rPr>
          <w:rFonts w:hint="eastAsia" w:hAnsi="宋体"/>
          <w:sz w:val="24"/>
          <w:szCs w:val="24"/>
        </w:rPr>
        <w:t>深圳地铁置业集团有限公司</w:t>
      </w:r>
    </w:p>
    <w:p>
      <w:pPr>
        <w:pStyle w:val="4"/>
        <w:wordWrap w:val="0"/>
        <w:spacing w:line="360" w:lineRule="auto"/>
        <w:ind w:right="240" w:firstLine="480" w:firstLineChars="200"/>
        <w:jc w:val="center"/>
        <w:rPr>
          <w:rFonts w:hAnsi="宋体" w:cs="宋体"/>
          <w:sz w:val="24"/>
          <w:szCs w:val="24"/>
        </w:rPr>
      </w:pPr>
      <w:r>
        <w:rPr>
          <w:rFonts w:hint="eastAsia" w:hAnsi="宋体"/>
          <w:sz w:val="24"/>
          <w:szCs w:val="24"/>
          <w:lang w:val="en-US" w:eastAsia="zh-CN"/>
        </w:rPr>
        <w:t xml:space="preserve">                                      </w:t>
      </w:r>
      <w:r>
        <w:rPr>
          <w:rFonts w:hint="eastAsia" w:hAnsi="宋体" w:cs="宋体"/>
          <w:sz w:val="24"/>
          <w:szCs w:val="24"/>
        </w:rPr>
        <w:t xml:space="preserve">2021年 </w:t>
      </w:r>
      <w:r>
        <w:rPr>
          <w:rFonts w:hint="eastAsia" w:hAnsi="宋体" w:cs="宋体"/>
          <w:sz w:val="24"/>
          <w:szCs w:val="24"/>
          <w:lang w:val="en-US" w:eastAsia="zh-CN"/>
        </w:rPr>
        <w:t>6</w:t>
      </w:r>
      <w:r>
        <w:rPr>
          <w:rFonts w:hint="eastAsia" w:hAnsi="宋体" w:cs="宋体"/>
          <w:sz w:val="24"/>
          <w:szCs w:val="24"/>
        </w:rPr>
        <w:t>月</w:t>
      </w:r>
      <w:r>
        <w:rPr>
          <w:rFonts w:hint="eastAsia" w:hAnsi="宋体" w:cs="宋体"/>
          <w:sz w:val="24"/>
          <w:szCs w:val="24"/>
          <w:lang w:val="en-US" w:eastAsia="zh-CN"/>
        </w:rPr>
        <w:t>11</w:t>
      </w:r>
      <w:r>
        <w:rPr>
          <w:rFonts w:hint="eastAsia" w:hAnsi="宋体" w:cs="宋体"/>
          <w:sz w:val="24"/>
          <w:szCs w:val="24"/>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92B88D"/>
    <w:multiLevelType w:val="singleLevel"/>
    <w:tmpl w:val="5B92B88D"/>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F17"/>
    <w:rsid w:val="00562F17"/>
    <w:rsid w:val="00EC6900"/>
    <w:rsid w:val="0669655E"/>
    <w:rsid w:val="06BC0B02"/>
    <w:rsid w:val="12BF1DE0"/>
    <w:rsid w:val="12E343D5"/>
    <w:rsid w:val="16386EA4"/>
    <w:rsid w:val="1A09460F"/>
    <w:rsid w:val="2204540C"/>
    <w:rsid w:val="23BF3AC8"/>
    <w:rsid w:val="248D6E18"/>
    <w:rsid w:val="2A5576A4"/>
    <w:rsid w:val="2E3B3CC2"/>
    <w:rsid w:val="2FC60E46"/>
    <w:rsid w:val="31046482"/>
    <w:rsid w:val="3404227C"/>
    <w:rsid w:val="36C01955"/>
    <w:rsid w:val="38DE23CF"/>
    <w:rsid w:val="39CE1E4A"/>
    <w:rsid w:val="3A4947BD"/>
    <w:rsid w:val="3F73234F"/>
    <w:rsid w:val="47A40CEA"/>
    <w:rsid w:val="47F12E6E"/>
    <w:rsid w:val="48B4646D"/>
    <w:rsid w:val="55653C3B"/>
    <w:rsid w:val="601C3789"/>
    <w:rsid w:val="65794DBB"/>
    <w:rsid w:val="67CB6527"/>
    <w:rsid w:val="73E902E6"/>
    <w:rsid w:val="7C6E145B"/>
    <w:rsid w:val="7DB752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1"/>
    <w:next w:val="1"/>
    <w:link w:val="7"/>
    <w:qFormat/>
    <w:uiPriority w:val="0"/>
    <w:pPr>
      <w:keepNext/>
      <w:keepLines/>
      <w:tabs>
        <w:tab w:val="left" w:pos="1260"/>
      </w:tabs>
      <w:adjustRightInd w:val="0"/>
      <w:spacing w:before="260" w:after="260" w:line="416" w:lineRule="atLeast"/>
      <w:ind w:left="1260" w:hanging="420"/>
      <w:textAlignment w:val="baseline"/>
      <w:outlineLvl w:val="2"/>
    </w:pPr>
    <w:rPr>
      <w:rFonts w:ascii="Times New Roman" w:hAnsi="Times New Roman"/>
      <w:b/>
      <w:kern w:val="0"/>
      <w:sz w:val="32"/>
      <w:szCs w:val="20"/>
      <w:lang w:val="zh-CN" w:eastAsia="zh-CN"/>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link w:val="8"/>
    <w:qFormat/>
    <w:uiPriority w:val="0"/>
    <w:pPr>
      <w:spacing w:line="360" w:lineRule="auto"/>
      <w:ind w:left="540" w:leftChars="257" w:firstLine="360" w:firstLineChars="150"/>
    </w:pPr>
    <w:rPr>
      <w:rFonts w:ascii="Times New Roman" w:hAnsi="Times New Roman"/>
      <w:kern w:val="0"/>
      <w:sz w:val="20"/>
      <w:szCs w:val="20"/>
      <w:lang w:val="zh-CN" w:eastAsia="zh-CN"/>
    </w:rPr>
  </w:style>
  <w:style w:type="paragraph" w:styleId="4">
    <w:name w:val="Plain Text"/>
    <w:basedOn w:val="1"/>
    <w:link w:val="9"/>
    <w:qFormat/>
    <w:uiPriority w:val="0"/>
    <w:pPr>
      <w:adjustRightInd w:val="0"/>
      <w:spacing w:line="312" w:lineRule="atLeast"/>
      <w:textAlignment w:val="baseline"/>
    </w:pPr>
    <w:rPr>
      <w:rFonts w:ascii="宋体" w:hAnsi="Courier New"/>
      <w:kern w:val="0"/>
      <w:sz w:val="20"/>
      <w:szCs w:val="20"/>
      <w:lang w:val="zh-CN" w:eastAsia="zh-CN"/>
    </w:rPr>
  </w:style>
  <w:style w:type="character" w:customStyle="1" w:styleId="7">
    <w:name w:val="标题 3 Char"/>
    <w:basedOn w:val="6"/>
    <w:link w:val="2"/>
    <w:qFormat/>
    <w:uiPriority w:val="0"/>
    <w:rPr>
      <w:rFonts w:ascii="Times New Roman" w:hAnsi="Times New Roman" w:eastAsia="宋体" w:cs="Times New Roman"/>
      <w:b/>
      <w:kern w:val="0"/>
      <w:sz w:val="32"/>
      <w:szCs w:val="20"/>
      <w:lang w:val="zh-CN" w:eastAsia="zh-CN"/>
    </w:rPr>
  </w:style>
  <w:style w:type="character" w:customStyle="1" w:styleId="8">
    <w:name w:val="正文文本缩进 Char"/>
    <w:basedOn w:val="6"/>
    <w:link w:val="3"/>
    <w:qFormat/>
    <w:uiPriority w:val="0"/>
    <w:rPr>
      <w:rFonts w:ascii="Times New Roman" w:hAnsi="Times New Roman" w:eastAsia="宋体" w:cs="Times New Roman"/>
      <w:kern w:val="0"/>
      <w:sz w:val="20"/>
      <w:szCs w:val="20"/>
      <w:lang w:val="zh-CN" w:eastAsia="zh-CN"/>
    </w:rPr>
  </w:style>
  <w:style w:type="character" w:customStyle="1" w:styleId="9">
    <w:name w:val="纯文本 Char"/>
    <w:basedOn w:val="6"/>
    <w:link w:val="4"/>
    <w:qFormat/>
    <w:uiPriority w:val="0"/>
    <w:rPr>
      <w:rFonts w:ascii="宋体" w:hAnsi="Courier New" w:eastAsia="宋体" w:cs="Times New Roman"/>
      <w:kern w:val="0"/>
      <w:sz w:val="20"/>
      <w:szCs w:val="20"/>
      <w:lang w:val="zh-CN" w:eastAsia="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224</Words>
  <Characters>1283</Characters>
  <Lines>10</Lines>
  <Paragraphs>3</Paragraphs>
  <TotalTime>5</TotalTime>
  <ScaleCrop>false</ScaleCrop>
  <LinksUpToDate>false</LinksUpToDate>
  <CharactersWithSpaces>1504</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2021-04-22T02:22:00Z</dcterms:created>
  <dc:creator>NTKO</dc:creator>
  <cp:lastModifiedBy>NTKO</cp:lastModifiedBy>
  <dcterms:modified xsi:type="dcterms:W3CDTF">2021-06-09T04:54:53Z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