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40" w:line="360" w:lineRule="auto"/>
        <w:jc w:val="center"/>
        <w:rPr>
          <w:rFonts w:hAnsi="宋体"/>
          <w:color w:val="0D0D0D" w:themeColor="text1" w:themeTint="F2"/>
          <w:sz w:val="52"/>
          <w:szCs w:val="52"/>
          <w14:textFill>
            <w14:solidFill>
              <w14:schemeClr w14:val="tx1">
                <w14:lumMod w14:val="95000"/>
                <w14:lumOff w14:val="5000"/>
              </w14:schemeClr>
            </w14:solidFill>
          </w14:textFill>
        </w:rPr>
      </w:pPr>
      <w:bookmarkStart w:id="0" w:name="_Toc53991829"/>
      <w:r>
        <w:rPr>
          <w:rFonts w:hint="eastAsia" w:hAnsi="宋体"/>
          <w:color w:val="0D0D0D" w:themeColor="text1" w:themeTint="F2"/>
          <w:sz w:val="52"/>
          <w:szCs w:val="52"/>
          <w14:textFill>
            <w14:solidFill>
              <w14:schemeClr w14:val="tx1">
                <w14:lumMod w14:val="95000"/>
                <w14:lumOff w14:val="5000"/>
              </w14:schemeClr>
            </w14:solidFill>
          </w14:textFill>
        </w:rPr>
        <w:t>比选公告</w:t>
      </w:r>
      <w:bookmarkEnd w:id="0"/>
    </w:p>
    <w:p>
      <w:pPr>
        <w:spacing w:line="360" w:lineRule="auto"/>
        <w:ind w:firstLine="480" w:firstLineChars="200"/>
        <w:jc w:val="lef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深圳市地铁集团有限公司拟对</w:t>
      </w:r>
      <w:r>
        <w:rPr>
          <w:rFonts w:hint="eastAsia" w:hAnsi="宋体"/>
          <w:b/>
          <w:bCs/>
          <w:color w:val="0D0D0D" w:themeColor="text1" w:themeTint="F2"/>
          <w:sz w:val="24"/>
          <w:szCs w:val="22"/>
          <w:u w:val="single"/>
          <w14:textFill>
            <w14:solidFill>
              <w14:schemeClr w14:val="tx1">
                <w14:lumMod w14:val="95000"/>
                <w14:lumOff w14:val="5000"/>
              </w14:schemeClr>
            </w14:solidFill>
          </w14:textFill>
        </w:rPr>
        <w:t>新大存车场、平湖枢纽、坪山高铁站三个项目物业发展策略及定位研究服务</w:t>
      </w:r>
      <w:r>
        <w:rPr>
          <w:rFonts w:hint="eastAsia" w:hAnsi="宋体"/>
          <w:b/>
          <w:color w:val="0D0D0D" w:themeColor="text1" w:themeTint="F2"/>
          <w:sz w:val="24"/>
          <w:szCs w:val="24"/>
          <w14:textFill>
            <w14:solidFill>
              <w14:schemeClr w14:val="tx1">
                <w14:lumMod w14:val="95000"/>
                <w14:lumOff w14:val="5000"/>
              </w14:schemeClr>
            </w14:solidFill>
          </w14:textFill>
        </w:rPr>
        <w:t>（以下</w:t>
      </w:r>
      <w:r>
        <w:rPr>
          <w:rFonts w:hAnsi="宋体"/>
          <w:b/>
          <w:color w:val="0D0D0D" w:themeColor="text1" w:themeTint="F2"/>
          <w:sz w:val="24"/>
          <w:szCs w:val="24"/>
          <w14:textFill>
            <w14:solidFill>
              <w14:schemeClr w14:val="tx1">
                <w14:lumMod w14:val="95000"/>
                <w14:lumOff w14:val="5000"/>
              </w14:schemeClr>
            </w14:solidFill>
          </w14:textFill>
        </w:rPr>
        <w:t>简称“本项目”）</w:t>
      </w:r>
      <w:r>
        <w:rPr>
          <w:rFonts w:hint="eastAsia" w:hAnsi="宋体"/>
          <w:color w:val="0D0D0D" w:themeColor="text1" w:themeTint="F2"/>
          <w:sz w:val="24"/>
          <w:szCs w:val="24"/>
          <w14:textFill>
            <w14:solidFill>
              <w14:schemeClr w14:val="tx1">
                <w14:lumMod w14:val="95000"/>
                <w14:lumOff w14:val="5000"/>
              </w14:schemeClr>
            </w14:solidFill>
          </w14:textFill>
        </w:rPr>
        <w:t>进行公开比选，欢迎符合本比选公告公布资质要求的公司参选。</w:t>
      </w:r>
    </w:p>
    <w:p>
      <w:pPr>
        <w:pStyle w:val="4"/>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一、项目名称</w:t>
      </w:r>
    </w:p>
    <w:p>
      <w:pPr>
        <w:pStyle w:val="4"/>
        <w:spacing w:line="360"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新大存车场、平湖枢纽、坪山高铁站三个项目物业发展策略及定位研究服务</w:t>
      </w:r>
    </w:p>
    <w:p>
      <w:pPr>
        <w:pStyle w:val="4"/>
        <w:spacing w:line="360" w:lineRule="auto"/>
        <w:ind w:firstLine="482" w:firstLineChars="200"/>
        <w:rPr>
          <w:rFonts w:hAnsi="宋体"/>
          <w:b/>
          <w:bCs/>
          <w:color w:val="0D0D0D" w:themeColor="text1" w:themeTint="F2"/>
          <w:sz w:val="24"/>
          <w:szCs w:val="22"/>
          <w14:textFill>
            <w14:solidFill>
              <w14:schemeClr w14:val="tx1">
                <w14:lumMod w14:val="95000"/>
                <w14:lumOff w14:val="5000"/>
              </w14:schemeClr>
            </w14:solidFill>
          </w14:textFill>
        </w:rPr>
      </w:pPr>
      <w:r>
        <w:rPr>
          <w:rFonts w:hint="eastAsia" w:hAnsi="宋体"/>
          <w:b/>
          <w:bCs/>
          <w:color w:val="0D0D0D" w:themeColor="text1" w:themeTint="F2"/>
          <w:sz w:val="24"/>
          <w:szCs w:val="22"/>
          <w14:textFill>
            <w14:solidFill>
              <w14:schemeClr w14:val="tx1">
                <w14:lumMod w14:val="95000"/>
                <w14:lumOff w14:val="5000"/>
              </w14:schemeClr>
            </w14:solidFill>
          </w14:textFill>
        </w:rPr>
        <w:t>二</w:t>
      </w:r>
      <w:r>
        <w:rPr>
          <w:rFonts w:hAnsi="宋体"/>
          <w:b/>
          <w:bCs/>
          <w:color w:val="0D0D0D" w:themeColor="text1" w:themeTint="F2"/>
          <w:sz w:val="24"/>
          <w:szCs w:val="22"/>
          <w14:textFill>
            <w14:solidFill>
              <w14:schemeClr w14:val="tx1">
                <w14:lumMod w14:val="95000"/>
                <w14:lumOff w14:val="5000"/>
              </w14:schemeClr>
            </w14:solidFill>
          </w14:textFill>
        </w:rPr>
        <w:t>、</w:t>
      </w:r>
      <w:r>
        <w:rPr>
          <w:rFonts w:hint="eastAsia" w:hAnsi="宋体"/>
          <w:b/>
          <w:color w:val="0D0D0D" w:themeColor="text1" w:themeTint="F2"/>
          <w:sz w:val="24"/>
          <w:szCs w:val="24"/>
          <w14:textFill>
            <w14:solidFill>
              <w14:schemeClr w14:val="tx1">
                <w14:lumMod w14:val="95000"/>
                <w14:lumOff w14:val="5000"/>
              </w14:schemeClr>
            </w14:solidFill>
          </w14:textFill>
        </w:rPr>
        <w:t>项目</w:t>
      </w:r>
      <w:r>
        <w:rPr>
          <w:rFonts w:hAnsi="宋体"/>
          <w:b/>
          <w:color w:val="0D0D0D" w:themeColor="text1" w:themeTint="F2"/>
          <w:sz w:val="24"/>
          <w:szCs w:val="24"/>
          <w14:textFill>
            <w14:solidFill>
              <w14:schemeClr w14:val="tx1">
                <w14:lumMod w14:val="95000"/>
                <w14:lumOff w14:val="5000"/>
              </w14:schemeClr>
            </w14:solidFill>
          </w14:textFill>
        </w:rPr>
        <w:t>概况</w:t>
      </w:r>
    </w:p>
    <w:p>
      <w:pPr>
        <w:pStyle w:val="4"/>
        <w:spacing w:line="360"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Ansi="宋体"/>
          <w:bCs/>
          <w:color w:val="0D0D0D" w:themeColor="text1" w:themeTint="F2"/>
          <w:sz w:val="24"/>
          <w:szCs w:val="22"/>
          <w14:textFill>
            <w14:solidFill>
              <w14:schemeClr w14:val="tx1">
                <w14:lumMod w14:val="95000"/>
                <w14:lumOff w14:val="5000"/>
              </w14:schemeClr>
            </w14:solidFill>
          </w14:textFill>
        </w:rPr>
        <w:t>1</w:t>
      </w:r>
      <w:r>
        <w:rPr>
          <w:rFonts w:hint="eastAsia" w:hAnsi="宋体"/>
          <w:bCs/>
          <w:color w:val="0D0D0D" w:themeColor="text1" w:themeTint="F2"/>
          <w:sz w:val="24"/>
          <w:szCs w:val="22"/>
          <w14:textFill>
            <w14:solidFill>
              <w14:schemeClr w14:val="tx1">
                <w14:lumMod w14:val="95000"/>
                <w14:lumOff w14:val="5000"/>
              </w14:schemeClr>
            </w14:solidFill>
          </w14:textFill>
        </w:rPr>
        <w:t>．新大存车场项目位于大鹏新区南澳街道新大社区，选址位于新大站的东南侧，东侧为大鹏半岛地质公园，西侧为在建新山路，南侧为地质公园停车场。项目占地12.6万，建面暂定约30万，业态以住宅为主。</w:t>
      </w:r>
    </w:p>
    <w:p>
      <w:pPr>
        <w:pStyle w:val="4"/>
        <w:spacing w:line="360"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Ansi="宋体"/>
          <w:bCs/>
          <w:color w:val="0D0D0D" w:themeColor="text1" w:themeTint="F2"/>
          <w:sz w:val="24"/>
          <w:szCs w:val="22"/>
          <w14:textFill>
            <w14:solidFill>
              <w14:schemeClr w14:val="tx1">
                <w14:lumMod w14:val="95000"/>
                <w14:lumOff w14:val="5000"/>
              </w14:schemeClr>
            </w14:solidFill>
          </w14:textFill>
        </w:rPr>
        <w:t>2</w:t>
      </w:r>
      <w:r>
        <w:rPr>
          <w:rFonts w:hint="eastAsia" w:hAnsi="宋体"/>
          <w:bCs/>
          <w:color w:val="0D0D0D" w:themeColor="text1" w:themeTint="F2"/>
          <w:sz w:val="24"/>
          <w:szCs w:val="22"/>
          <w14:textFill>
            <w14:solidFill>
              <w14:schemeClr w14:val="tx1">
                <w14:lumMod w14:val="95000"/>
                <w14:lumOff w14:val="5000"/>
              </w14:schemeClr>
            </w14:solidFill>
          </w14:textFill>
        </w:rPr>
        <w:t>．平湖枢纽为深圳重要枢纽之一，位于地铁10号线、17号线、18号线以及深惠城际和广深铁路交汇处，目前拟开展平湖枢纽项目DK-15、DK-17、DK-18及DK-19的发展策略及定位研究工作，占地约7.9万平方米，建面暂定约35万平方米。业态涵盖商业、办公及住宅。</w:t>
      </w:r>
    </w:p>
    <w:p>
      <w:pPr>
        <w:pStyle w:val="4"/>
        <w:spacing w:line="360"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3</w:t>
      </w:r>
      <w:r>
        <w:rPr>
          <w:rFonts w:hAnsi="宋体"/>
          <w:bCs/>
          <w:color w:val="0D0D0D" w:themeColor="text1" w:themeTint="F2"/>
          <w:sz w:val="24"/>
          <w:szCs w:val="22"/>
          <w14:textFill>
            <w14:solidFill>
              <w14:schemeClr w14:val="tx1">
                <w14:lumMod w14:val="95000"/>
                <w14:lumOff w14:val="5000"/>
              </w14:schemeClr>
            </w14:solidFill>
          </w14:textFill>
        </w:rPr>
        <w:t>.</w:t>
      </w:r>
      <w:r>
        <w:rPr>
          <w:rFonts w:hint="eastAsia"/>
        </w:rPr>
        <w:t xml:space="preserve"> </w:t>
      </w:r>
      <w:r>
        <w:rPr>
          <w:rFonts w:hint="eastAsia" w:hAnsi="宋体"/>
          <w:bCs/>
          <w:color w:val="0D0D0D" w:themeColor="text1" w:themeTint="F2"/>
          <w:sz w:val="24"/>
          <w:szCs w:val="22"/>
          <w14:textFill>
            <w14:solidFill>
              <w14:schemeClr w14:val="tx1">
                <w14:lumMod w14:val="95000"/>
                <w14:lumOff w14:val="5000"/>
              </w14:schemeClr>
            </w14:solidFill>
          </w14:textFill>
        </w:rPr>
        <w:t>坪山高铁站为深圳东部片区交通枢纽，汇集3条国家铁路（包括厦深铁路、深汕客专、深河客专）、2条城际铁路、2条城市轨道和多种交通接驳设施，拟商业开发研究范围暂定为A-04、A-05及A07地块，占地约10.2万平方米，建面暂定约71.5万平方米。业态涵盖住宅、商业、办公、酒店。</w:t>
      </w:r>
    </w:p>
    <w:p>
      <w:pPr>
        <w:pStyle w:val="4"/>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三、比选内容</w:t>
      </w:r>
    </w:p>
    <w:p>
      <w:pPr>
        <w:pStyle w:val="4"/>
        <w:spacing w:line="360"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本次开展</w:t>
      </w:r>
      <w:r>
        <w:rPr>
          <w:rFonts w:hint="eastAsia" w:hAnsi="宋体"/>
          <w:bCs/>
          <w:color w:val="0D0D0D" w:themeColor="text1" w:themeTint="F2"/>
          <w:sz w:val="24"/>
          <w:szCs w:val="22"/>
          <w14:textFill>
            <w14:solidFill>
              <w14:schemeClr w14:val="tx1">
                <w14:lumMod w14:val="95000"/>
                <w14:lumOff w14:val="5000"/>
              </w14:schemeClr>
            </w14:solidFill>
          </w14:textFill>
        </w:rPr>
        <w:t>新大存车场、平湖枢纽、坪山高铁站三个项目的物业发展策略及定位研究服务公司的公开比选，采用“一标三包”的形式，共产生三个中选人，并分别签订合同。</w:t>
      </w:r>
    </w:p>
    <w:p>
      <w:pPr>
        <w:pStyle w:val="4"/>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项目物业发展策略及定位研究服务公司将结合前期项目需求开展地块研究及定位工作，根据目前项目用地的实际情况及不确定性，项目服务分为两阶段，并配合跟进服务，具体内容如下：</w:t>
      </w:r>
    </w:p>
    <w:p>
      <w:pPr>
        <w:spacing w:line="360" w:lineRule="auto"/>
        <w:ind w:firstLine="482" w:firstLineChars="200"/>
        <w:rPr>
          <w:rFonts w:ascii="宋体" w:hAnsi="宋体"/>
          <w:b/>
          <w:sz w:val="24"/>
          <w:szCs w:val="24"/>
        </w:rPr>
      </w:pPr>
      <w:r>
        <w:rPr>
          <w:rFonts w:hint="eastAsia" w:ascii="宋体" w:hAnsi="宋体"/>
          <w:b/>
          <w:sz w:val="24"/>
          <w:szCs w:val="24"/>
        </w:rPr>
        <w:t>阶段</w:t>
      </w:r>
      <w:r>
        <w:rPr>
          <w:rFonts w:ascii="宋体" w:hAnsi="宋体"/>
          <w:b/>
          <w:sz w:val="24"/>
          <w:szCs w:val="24"/>
        </w:rPr>
        <w:t>一</w:t>
      </w:r>
      <w:r>
        <w:rPr>
          <w:rFonts w:hint="eastAsia" w:ascii="宋体" w:hAnsi="宋体"/>
          <w:b/>
          <w:sz w:val="24"/>
          <w:szCs w:val="24"/>
        </w:rPr>
        <w:t>（策略</w:t>
      </w:r>
      <w:r>
        <w:rPr>
          <w:rFonts w:ascii="宋体" w:hAnsi="宋体"/>
          <w:b/>
          <w:sz w:val="24"/>
          <w:szCs w:val="24"/>
        </w:rPr>
        <w:t>研究阶段</w:t>
      </w:r>
      <w:r>
        <w:rPr>
          <w:rFonts w:hint="eastAsia" w:ascii="宋体" w:hAnsi="宋体"/>
          <w:b/>
          <w:sz w:val="24"/>
          <w:szCs w:val="24"/>
        </w:rPr>
        <w:t>）</w:t>
      </w:r>
      <w:r>
        <w:rPr>
          <w:rFonts w:ascii="宋体" w:hAnsi="宋体"/>
          <w:b/>
          <w:sz w:val="24"/>
          <w:szCs w:val="24"/>
        </w:rPr>
        <w:t>：</w:t>
      </w:r>
      <w:r>
        <w:rPr>
          <w:rFonts w:hint="eastAsia" w:ascii="宋体" w:hAnsi="宋体"/>
          <w:b/>
          <w:sz w:val="24"/>
          <w:szCs w:val="24"/>
        </w:rPr>
        <w:t>项目整体物业发展策略研究报告，研究范围包括但不限以下内容：</w:t>
      </w:r>
    </w:p>
    <w:p>
      <w:pPr>
        <w:spacing w:line="360" w:lineRule="auto"/>
        <w:ind w:firstLine="480" w:firstLineChars="200"/>
        <w:rPr>
          <w:rFonts w:ascii="宋体" w:hAnsi="宋体"/>
          <w:sz w:val="24"/>
          <w:szCs w:val="24"/>
        </w:rPr>
      </w:pPr>
      <w:r>
        <w:rPr>
          <w:rFonts w:hint="eastAsia" w:ascii="宋体" w:hAnsi="宋体"/>
          <w:sz w:val="24"/>
          <w:szCs w:val="24"/>
        </w:rPr>
        <w:t>1.宏观背景研究：包括深圳市及项目所在地整体经济背景研究；深圳市及项目所在地规划及其他相关政策研究；项目周边竞争关系研究。</w:t>
      </w:r>
    </w:p>
    <w:p>
      <w:pPr>
        <w:spacing w:line="360" w:lineRule="auto"/>
        <w:ind w:firstLine="480" w:firstLineChars="200"/>
        <w:rPr>
          <w:rFonts w:ascii="宋体" w:hAnsi="宋体"/>
          <w:sz w:val="24"/>
          <w:szCs w:val="24"/>
        </w:rPr>
      </w:pPr>
      <w:r>
        <w:rPr>
          <w:rFonts w:hint="eastAsia" w:ascii="宋体" w:hAnsi="宋体"/>
          <w:sz w:val="24"/>
          <w:szCs w:val="24"/>
        </w:rPr>
        <w:t>2.项目本体条件分析：包括项目地块解析、区位条件分析、资源条件分析、规划内容分析、交通及基础设施条件分析。</w:t>
      </w:r>
    </w:p>
    <w:p>
      <w:pPr>
        <w:spacing w:line="360" w:lineRule="auto"/>
        <w:ind w:firstLine="480" w:firstLineChars="200"/>
        <w:rPr>
          <w:rFonts w:ascii="宋体" w:hAnsi="宋体"/>
          <w:sz w:val="24"/>
          <w:szCs w:val="24"/>
        </w:rPr>
      </w:pPr>
      <w:r>
        <w:rPr>
          <w:rFonts w:hint="eastAsia" w:ascii="宋体" w:hAnsi="宋体"/>
          <w:sz w:val="24"/>
          <w:szCs w:val="24"/>
        </w:rPr>
        <w:t>3.项目总体定位：包括相关国内外案例研究、项目发展总体定位、各业态指标研判、功能业态及产品定位、</w:t>
      </w:r>
      <w:r>
        <w:rPr>
          <w:rFonts w:ascii="宋体" w:hAnsi="宋体"/>
          <w:sz w:val="24"/>
          <w:szCs w:val="24"/>
        </w:rPr>
        <w:t>户型配比</w:t>
      </w:r>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4.项目整体物业发展策略建议：包括开发时序、运营策略等。</w:t>
      </w:r>
    </w:p>
    <w:p>
      <w:pPr>
        <w:spacing w:line="360" w:lineRule="auto"/>
        <w:ind w:firstLine="480" w:firstLineChars="200"/>
        <w:rPr>
          <w:rFonts w:ascii="宋体" w:hAnsi="宋体"/>
          <w:sz w:val="24"/>
          <w:szCs w:val="24"/>
        </w:rPr>
      </w:pPr>
      <w:r>
        <w:rPr>
          <w:rFonts w:hint="eastAsia" w:ascii="宋体" w:hAnsi="宋体"/>
          <w:sz w:val="24"/>
          <w:szCs w:val="24"/>
        </w:rPr>
        <w:t>5.项目各</w:t>
      </w:r>
      <w:r>
        <w:rPr>
          <w:rFonts w:ascii="宋体" w:hAnsi="宋体"/>
          <w:sz w:val="24"/>
          <w:szCs w:val="24"/>
        </w:rPr>
        <w:t>物业价格</w:t>
      </w:r>
      <w:r>
        <w:rPr>
          <w:rFonts w:hint="eastAsia" w:ascii="宋体" w:hAnsi="宋体"/>
          <w:sz w:val="24"/>
          <w:szCs w:val="24"/>
        </w:rPr>
        <w:t>初步</w:t>
      </w:r>
      <w:r>
        <w:rPr>
          <w:rFonts w:ascii="宋体" w:hAnsi="宋体"/>
          <w:sz w:val="24"/>
          <w:szCs w:val="24"/>
        </w:rPr>
        <w:t>研判</w:t>
      </w:r>
      <w:r>
        <w:rPr>
          <w:rFonts w:hint="eastAsia" w:ascii="宋体" w:hAnsi="宋体"/>
          <w:sz w:val="24"/>
          <w:szCs w:val="24"/>
        </w:rPr>
        <w:t xml:space="preserve">。 </w:t>
      </w:r>
    </w:p>
    <w:p>
      <w:pPr>
        <w:spacing w:line="360" w:lineRule="auto"/>
        <w:ind w:firstLine="480" w:firstLineChars="200"/>
        <w:rPr>
          <w:rFonts w:ascii="宋体" w:hAnsi="宋体"/>
          <w:sz w:val="24"/>
          <w:szCs w:val="24"/>
        </w:rPr>
      </w:pPr>
      <w:r>
        <w:rPr>
          <w:rFonts w:hint="eastAsia" w:ascii="宋体" w:hAnsi="宋体"/>
          <w:sz w:val="24"/>
          <w:szCs w:val="24"/>
        </w:rPr>
        <w:t>6.相关跟进配合服务，包括项目规划设计配合、政府沟通配合及集团会议配合等内容。</w:t>
      </w:r>
    </w:p>
    <w:p>
      <w:pPr>
        <w:spacing w:line="360" w:lineRule="auto"/>
        <w:ind w:firstLine="482" w:firstLineChars="200"/>
        <w:rPr>
          <w:rFonts w:ascii="宋体" w:hAnsi="宋体"/>
          <w:b/>
          <w:sz w:val="24"/>
          <w:szCs w:val="24"/>
        </w:rPr>
      </w:pPr>
      <w:r>
        <w:rPr>
          <w:rFonts w:hint="eastAsia" w:ascii="宋体" w:hAnsi="宋体"/>
          <w:b/>
          <w:sz w:val="24"/>
          <w:szCs w:val="24"/>
        </w:rPr>
        <w:t>阶段</w:t>
      </w:r>
      <w:r>
        <w:rPr>
          <w:rFonts w:ascii="宋体" w:hAnsi="宋体"/>
          <w:b/>
          <w:sz w:val="24"/>
          <w:szCs w:val="24"/>
        </w:rPr>
        <w:t>二</w:t>
      </w:r>
      <w:r>
        <w:rPr>
          <w:rFonts w:hint="eastAsia" w:ascii="宋体" w:hAnsi="宋体"/>
          <w:b/>
          <w:sz w:val="24"/>
          <w:szCs w:val="24"/>
        </w:rPr>
        <w:t>（定位</w:t>
      </w:r>
      <w:r>
        <w:rPr>
          <w:rFonts w:ascii="宋体" w:hAnsi="宋体"/>
          <w:b/>
          <w:sz w:val="24"/>
          <w:szCs w:val="24"/>
        </w:rPr>
        <w:t>研究阶段</w:t>
      </w:r>
      <w:r>
        <w:rPr>
          <w:rFonts w:hint="eastAsia" w:ascii="宋体" w:hAnsi="宋体"/>
          <w:b/>
          <w:sz w:val="24"/>
          <w:szCs w:val="24"/>
        </w:rPr>
        <w:t>）</w:t>
      </w:r>
      <w:r>
        <w:rPr>
          <w:rFonts w:ascii="宋体" w:hAnsi="宋体"/>
          <w:b/>
          <w:sz w:val="24"/>
          <w:szCs w:val="24"/>
        </w:rPr>
        <w:t>：</w:t>
      </w:r>
      <w:r>
        <w:rPr>
          <w:rFonts w:hint="eastAsia" w:ascii="宋体" w:hAnsi="宋体"/>
          <w:b/>
          <w:sz w:val="24"/>
          <w:szCs w:val="24"/>
        </w:rPr>
        <w:t>项目整体定位报告，研究范围为</w:t>
      </w:r>
      <w:r>
        <w:rPr>
          <w:rFonts w:ascii="宋体" w:hAnsi="宋体"/>
          <w:b/>
          <w:sz w:val="24"/>
          <w:szCs w:val="24"/>
        </w:rPr>
        <w:t>最终获取土地</w:t>
      </w:r>
      <w:r>
        <w:rPr>
          <w:rFonts w:hint="eastAsia" w:ascii="宋体" w:hAnsi="宋体"/>
          <w:b/>
          <w:sz w:val="24"/>
          <w:szCs w:val="24"/>
        </w:rPr>
        <w:t>（研究</w:t>
      </w:r>
      <w:r>
        <w:rPr>
          <w:rFonts w:ascii="宋体" w:hAnsi="宋体"/>
          <w:b/>
          <w:sz w:val="24"/>
          <w:szCs w:val="24"/>
        </w:rPr>
        <w:t>范围</w:t>
      </w:r>
      <w:r>
        <w:rPr>
          <w:rFonts w:hint="eastAsia" w:ascii="宋体" w:hAnsi="宋体"/>
          <w:b/>
          <w:sz w:val="24"/>
          <w:szCs w:val="24"/>
        </w:rPr>
        <w:t>存在</w:t>
      </w:r>
      <w:r>
        <w:rPr>
          <w:rFonts w:ascii="宋体" w:hAnsi="宋体"/>
          <w:b/>
          <w:sz w:val="24"/>
          <w:szCs w:val="24"/>
        </w:rPr>
        <w:t>缩小或</w:t>
      </w:r>
      <w:r>
        <w:rPr>
          <w:rFonts w:hint="eastAsia" w:ascii="宋体" w:hAnsi="宋体"/>
          <w:b/>
          <w:sz w:val="24"/>
          <w:szCs w:val="24"/>
        </w:rPr>
        <w:t>调整</w:t>
      </w:r>
      <w:r>
        <w:rPr>
          <w:rFonts w:ascii="宋体" w:hAnsi="宋体"/>
          <w:b/>
          <w:sz w:val="24"/>
          <w:szCs w:val="24"/>
        </w:rPr>
        <w:t>的可能</w:t>
      </w:r>
      <w:r>
        <w:rPr>
          <w:rFonts w:hint="eastAsia" w:ascii="宋体" w:hAnsi="宋体"/>
          <w:b/>
          <w:sz w:val="24"/>
          <w:szCs w:val="24"/>
        </w:rPr>
        <w:t>），包括但不限以下内容：</w:t>
      </w:r>
    </w:p>
    <w:p>
      <w:pPr>
        <w:spacing w:line="360" w:lineRule="auto"/>
        <w:ind w:firstLine="480" w:firstLineChars="200"/>
        <w:rPr>
          <w:rFonts w:ascii="宋体" w:hAnsi="宋体"/>
          <w:sz w:val="24"/>
          <w:szCs w:val="24"/>
        </w:rPr>
      </w:pPr>
      <w:r>
        <w:rPr>
          <w:rFonts w:hint="eastAsia" w:ascii="宋体" w:hAnsi="宋体"/>
          <w:sz w:val="24"/>
          <w:szCs w:val="24"/>
        </w:rPr>
        <w:t>1.项目地块分析：包括地块区域分析、地块整体分析、土地价值的定性定量评估、地块优劣势分析、项目价值初判。</w:t>
      </w:r>
    </w:p>
    <w:p>
      <w:pPr>
        <w:spacing w:line="360" w:lineRule="auto"/>
        <w:ind w:firstLine="480" w:firstLineChars="200"/>
        <w:rPr>
          <w:rFonts w:ascii="宋体" w:hAnsi="宋体"/>
          <w:sz w:val="24"/>
          <w:szCs w:val="24"/>
        </w:rPr>
      </w:pPr>
      <w:r>
        <w:rPr>
          <w:rFonts w:hint="eastAsia" w:ascii="宋体" w:hAnsi="宋体"/>
          <w:sz w:val="24"/>
          <w:szCs w:val="24"/>
        </w:rPr>
        <w:t>2.市场调研</w:t>
      </w:r>
    </w:p>
    <w:p>
      <w:pPr>
        <w:spacing w:line="360" w:lineRule="auto"/>
        <w:ind w:firstLine="480" w:firstLineChars="200"/>
        <w:rPr>
          <w:rFonts w:ascii="宋体" w:hAnsi="宋体"/>
          <w:sz w:val="24"/>
          <w:szCs w:val="24"/>
        </w:rPr>
      </w:pPr>
      <w:r>
        <w:rPr>
          <w:rFonts w:hint="eastAsia" w:ascii="宋体" w:hAnsi="宋体"/>
          <w:sz w:val="24"/>
          <w:szCs w:val="24"/>
        </w:rPr>
        <w:t>（1）区域市场研究：包括区域发展现状结论、区域发展趋势研判、项目在区域中的占位及功能初步评估、市场调研结论。</w:t>
      </w:r>
    </w:p>
    <w:p>
      <w:pPr>
        <w:spacing w:line="360" w:lineRule="auto"/>
        <w:ind w:firstLine="480" w:firstLineChars="200"/>
        <w:rPr>
          <w:rFonts w:ascii="宋体" w:hAnsi="宋体"/>
          <w:sz w:val="24"/>
          <w:szCs w:val="24"/>
        </w:rPr>
      </w:pPr>
      <w:r>
        <w:rPr>
          <w:rFonts w:hint="eastAsia" w:ascii="宋体" w:hAnsi="宋体"/>
          <w:sz w:val="24"/>
          <w:szCs w:val="24"/>
        </w:rPr>
        <w:t>（2）分项物业市场研究：针对本项目特质，针对性地分析项目涉及物业相关市场情况，包括涉及物业的存量、新增供应量研究；在售项目产品研究及销售情况研究、客户数据分析；市场售价、租金情况研究；市场典型案例研究；分项物业市场研究结论。</w:t>
      </w:r>
    </w:p>
    <w:p>
      <w:pPr>
        <w:spacing w:line="360" w:lineRule="auto"/>
        <w:ind w:firstLine="480" w:firstLineChars="200"/>
        <w:rPr>
          <w:rFonts w:ascii="宋体" w:hAnsi="宋体"/>
          <w:sz w:val="24"/>
          <w:szCs w:val="24"/>
        </w:rPr>
      </w:pPr>
      <w:r>
        <w:rPr>
          <w:rFonts w:hint="eastAsia" w:ascii="宋体" w:hAnsi="宋体"/>
          <w:sz w:val="24"/>
          <w:szCs w:val="24"/>
        </w:rPr>
        <w:t>3.本项目物业发展方向研判：包括本项目地块核心优劣势提炼、本项目地块面临的核心问题、本项目内外部资源整合分析、本项目物业发展方向建议、本项目开发目标分解、本项目发展战略确定、分项物业定量分析、根据定量分析结论提出对规划指标的调整建议。</w:t>
      </w:r>
    </w:p>
    <w:p>
      <w:pPr>
        <w:spacing w:line="360" w:lineRule="auto"/>
        <w:ind w:firstLine="480" w:firstLineChars="200"/>
        <w:rPr>
          <w:rFonts w:ascii="宋体" w:hAnsi="宋体"/>
          <w:sz w:val="24"/>
          <w:szCs w:val="24"/>
        </w:rPr>
      </w:pPr>
      <w:r>
        <w:rPr>
          <w:rFonts w:hint="eastAsia" w:ascii="宋体" w:hAnsi="宋体"/>
          <w:sz w:val="24"/>
          <w:szCs w:val="24"/>
        </w:rPr>
        <w:t>4.本项目整体定位</w:t>
      </w:r>
    </w:p>
    <w:p>
      <w:pPr>
        <w:spacing w:line="360" w:lineRule="auto"/>
        <w:ind w:firstLine="480" w:firstLineChars="200"/>
        <w:rPr>
          <w:rFonts w:ascii="宋体" w:hAnsi="宋体"/>
          <w:sz w:val="24"/>
          <w:szCs w:val="24"/>
        </w:rPr>
      </w:pPr>
      <w:r>
        <w:rPr>
          <w:rFonts w:hint="eastAsia" w:ascii="宋体" w:hAnsi="宋体"/>
          <w:sz w:val="24"/>
          <w:szCs w:val="24"/>
        </w:rPr>
        <w:t>（1）本项目整体物业定位、本项目整体形象定位、本项目功能定位、本项目档次定位。</w:t>
      </w:r>
    </w:p>
    <w:p>
      <w:pPr>
        <w:spacing w:line="360" w:lineRule="auto"/>
        <w:ind w:firstLine="480" w:firstLineChars="200"/>
        <w:rPr>
          <w:rFonts w:ascii="宋体" w:hAnsi="宋体"/>
          <w:sz w:val="24"/>
          <w:szCs w:val="24"/>
        </w:rPr>
      </w:pPr>
      <w:r>
        <w:rPr>
          <w:rFonts w:hint="eastAsia" w:ascii="宋体" w:hAnsi="宋体"/>
          <w:sz w:val="24"/>
          <w:szCs w:val="24"/>
        </w:rPr>
        <w:t>（2）分物业属性定位、形象定位、档次定位、客户定位、产品定位、业态定位等。</w:t>
      </w:r>
    </w:p>
    <w:p>
      <w:pPr>
        <w:spacing w:line="360" w:lineRule="auto"/>
        <w:ind w:firstLine="480" w:firstLineChars="200"/>
        <w:rPr>
          <w:rFonts w:ascii="宋体" w:hAnsi="宋体"/>
          <w:sz w:val="24"/>
          <w:szCs w:val="24"/>
        </w:rPr>
      </w:pPr>
      <w:r>
        <w:rPr>
          <w:rFonts w:hint="eastAsia" w:ascii="宋体" w:hAnsi="宋体"/>
          <w:sz w:val="24"/>
          <w:szCs w:val="24"/>
        </w:rPr>
        <w:t>5.项目初步开发策划建议</w:t>
      </w:r>
    </w:p>
    <w:p>
      <w:pPr>
        <w:spacing w:line="360" w:lineRule="auto"/>
        <w:ind w:firstLine="480" w:firstLineChars="200"/>
        <w:rPr>
          <w:rFonts w:ascii="宋体" w:hAnsi="宋体"/>
          <w:sz w:val="24"/>
          <w:szCs w:val="24"/>
        </w:rPr>
      </w:pPr>
      <w:r>
        <w:rPr>
          <w:rFonts w:hint="eastAsia" w:ascii="宋体" w:hAnsi="宋体"/>
          <w:sz w:val="24"/>
          <w:szCs w:val="24"/>
        </w:rPr>
        <w:t>6.项目初步经济测算</w:t>
      </w:r>
    </w:p>
    <w:p>
      <w:pPr>
        <w:spacing w:line="360" w:lineRule="auto"/>
        <w:ind w:firstLine="480" w:firstLineChars="200"/>
        <w:rPr>
          <w:rFonts w:ascii="宋体" w:hAnsi="宋体"/>
          <w:sz w:val="24"/>
          <w:szCs w:val="24"/>
        </w:rPr>
      </w:pPr>
      <w:r>
        <w:rPr>
          <w:rFonts w:hint="eastAsia" w:ascii="宋体" w:hAnsi="宋体"/>
          <w:sz w:val="24"/>
          <w:szCs w:val="24"/>
        </w:rPr>
        <w:t>7.项目物业发展建议</w:t>
      </w:r>
    </w:p>
    <w:p>
      <w:pPr>
        <w:pStyle w:val="4"/>
        <w:spacing w:line="360" w:lineRule="auto"/>
        <w:ind w:firstLine="482" w:firstLineChars="200"/>
        <w:rPr>
          <w:rFonts w:hAnsi="宋体"/>
          <w:sz w:val="24"/>
          <w:szCs w:val="24"/>
        </w:rPr>
      </w:pPr>
      <w:r>
        <w:rPr>
          <w:rFonts w:hint="eastAsia" w:hAnsi="宋体"/>
          <w:b/>
          <w:bCs/>
          <w:sz w:val="24"/>
          <w:szCs w:val="24"/>
        </w:rPr>
        <w:t>其它：本项目规划设计配合及跟进服务，</w:t>
      </w:r>
      <w:r>
        <w:rPr>
          <w:rFonts w:hint="eastAsia" w:hAnsi="宋体"/>
          <w:sz w:val="24"/>
          <w:szCs w:val="24"/>
        </w:rPr>
        <w:t>内容包括但不限于：</w:t>
      </w:r>
    </w:p>
    <w:p>
      <w:pPr>
        <w:pStyle w:val="4"/>
        <w:spacing w:line="360" w:lineRule="auto"/>
        <w:ind w:firstLine="480" w:firstLineChars="200"/>
        <w:rPr>
          <w:rFonts w:hAnsi="宋体"/>
          <w:sz w:val="24"/>
          <w:szCs w:val="24"/>
        </w:rPr>
      </w:pPr>
      <w:r>
        <w:rPr>
          <w:rFonts w:hint="eastAsia" w:hAnsi="宋体"/>
          <w:sz w:val="24"/>
          <w:szCs w:val="24"/>
        </w:rPr>
        <w:t>1.配合后续由于项目规划设计等相关工作的需求，涉及到的定位报告的调整与更新工作，以及相关规划设计相关的意见反馈、专项建议等；</w:t>
      </w:r>
    </w:p>
    <w:p>
      <w:pPr>
        <w:pStyle w:val="4"/>
        <w:spacing w:line="360" w:lineRule="auto"/>
        <w:ind w:firstLine="480" w:firstLineChars="200"/>
        <w:rPr>
          <w:rFonts w:hAnsi="宋体"/>
          <w:sz w:val="24"/>
          <w:szCs w:val="24"/>
        </w:rPr>
      </w:pPr>
      <w:r>
        <w:rPr>
          <w:rFonts w:hint="eastAsia" w:hAnsi="宋体"/>
          <w:sz w:val="24"/>
          <w:szCs w:val="24"/>
        </w:rPr>
        <w:t>2.在服务期内按要求提供相关咨询及顾问服务（包括但不限于市场研究、市场动态、市场数据等）。</w:t>
      </w:r>
    </w:p>
    <w:p>
      <w:pPr>
        <w:pStyle w:val="4"/>
        <w:spacing w:line="360" w:lineRule="auto"/>
        <w:ind w:firstLine="482" w:firstLineChars="200"/>
        <w:rPr>
          <w:rFonts w:hAnsi="宋体"/>
          <w:b/>
          <w:color w:val="0D0D0D" w:themeColor="text1" w:themeTint="F2"/>
          <w:kern w:val="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四、比选控制价格</w:t>
      </w:r>
    </w:p>
    <w:p>
      <w:pPr>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本次比选报价总费用最高限价为人民币1</w:t>
      </w:r>
      <w:r>
        <w:rPr>
          <w:rFonts w:hAnsi="宋体"/>
          <w:color w:val="0D0D0D" w:themeColor="text1" w:themeTint="F2"/>
          <w:sz w:val="24"/>
          <w:szCs w:val="24"/>
          <w14:textFill>
            <w14:solidFill>
              <w14:schemeClr w14:val="tx1">
                <w14:lumMod w14:val="95000"/>
                <w14:lumOff w14:val="5000"/>
              </w14:schemeClr>
            </w14:solidFill>
          </w14:textFill>
        </w:rPr>
        <w:t>40</w:t>
      </w:r>
      <w:r>
        <w:rPr>
          <w:rFonts w:hint="eastAsia" w:hAnsi="宋体"/>
          <w:color w:val="0D0D0D" w:themeColor="text1" w:themeTint="F2"/>
          <w:sz w:val="24"/>
          <w:szCs w:val="24"/>
          <w14:textFill>
            <w14:solidFill>
              <w14:schemeClr w14:val="tx1">
                <w14:lumMod w14:val="95000"/>
                <w14:lumOff w14:val="5000"/>
              </w14:schemeClr>
            </w14:solidFill>
          </w14:textFill>
        </w:rPr>
        <w:t>万元</w:t>
      </w:r>
      <w:r>
        <w:rPr>
          <w:rFonts w:hint="eastAsia" w:ascii="宋体" w:hAnsi="宋体"/>
          <w:color w:val="000000" w:themeColor="text1"/>
          <w:sz w:val="24"/>
          <w:szCs w:val="24"/>
          <w14:textFill>
            <w14:solidFill>
              <w14:schemeClr w14:val="tx1"/>
            </w14:solidFill>
          </w14:textFill>
        </w:rPr>
        <w:t>（含税）</w:t>
      </w:r>
      <w:r>
        <w:rPr>
          <w:rFonts w:hint="eastAsia" w:hAnsi="宋体"/>
          <w:color w:val="0D0D0D" w:themeColor="text1" w:themeTint="F2"/>
          <w:sz w:val="24"/>
          <w:szCs w:val="24"/>
          <w14:textFill>
            <w14:solidFill>
              <w14:schemeClr w14:val="tx1">
                <w14:lumMod w14:val="95000"/>
                <w14:lumOff w14:val="5000"/>
              </w14:schemeClr>
            </w14:solidFill>
          </w14:textFill>
        </w:rPr>
        <w:t>，各项目分别最高限价如下：</w:t>
      </w:r>
    </w:p>
    <w:p>
      <w:pPr>
        <w:pStyle w:val="4"/>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1．新大存车场项目物业发展策略及定位研究服务最高限价为人民币35万元以内（含税</w:t>
      </w:r>
      <w:r>
        <w:rPr>
          <w:rFonts w:hAnsi="宋体"/>
          <w:color w:val="0D0D0D" w:themeColor="text1" w:themeTint="F2"/>
          <w:sz w:val="24"/>
          <w:szCs w:val="24"/>
          <w14:textFill>
            <w14:solidFill>
              <w14:schemeClr w14:val="tx1">
                <w14:lumMod w14:val="95000"/>
                <w14:lumOff w14:val="5000"/>
              </w14:schemeClr>
            </w14:solidFill>
          </w14:textFill>
        </w:rPr>
        <w:t>）</w:t>
      </w:r>
      <w:r>
        <w:rPr>
          <w:rFonts w:hint="eastAsia" w:hAnsi="宋体"/>
          <w:color w:val="0D0D0D" w:themeColor="text1" w:themeTint="F2"/>
          <w:sz w:val="24"/>
          <w:szCs w:val="24"/>
          <w14:textFill>
            <w14:solidFill>
              <w14:schemeClr w14:val="tx1">
                <w14:lumMod w14:val="95000"/>
                <w14:lumOff w14:val="5000"/>
              </w14:schemeClr>
            </w14:solidFill>
          </w14:textFill>
        </w:rPr>
        <w:t>；</w:t>
      </w:r>
    </w:p>
    <w:p>
      <w:pPr>
        <w:pStyle w:val="4"/>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2．平湖枢纽项目物业发展策略及定位研究服务最高限价为人民币45万元以内（含税）；</w:t>
      </w:r>
    </w:p>
    <w:p>
      <w:pPr>
        <w:pStyle w:val="4"/>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3．坪山高铁站项目物业发展策略及定位研究服务最高限价为人民币60万元以内（含税）。</w:t>
      </w:r>
    </w:p>
    <w:p>
      <w:pPr>
        <w:pStyle w:val="4"/>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五、参选人资格要求</w:t>
      </w:r>
    </w:p>
    <w:p>
      <w:pPr>
        <w:suppressAutoHyphens/>
        <w:topLinePunct/>
        <w:snapToGrid w:val="0"/>
        <w:spacing w:line="360" w:lineRule="auto"/>
        <w:ind w:firstLine="544" w:firstLineChars="227"/>
        <w:contextualSpacing/>
        <w:rPr>
          <w:rFonts w:ascii="宋体" w:hAnsi="宋体"/>
          <w:color w:val="0D0D0D" w:themeColor="text1" w:themeTint="F2"/>
          <w:kern w:val="0"/>
          <w:sz w:val="24"/>
          <w:szCs w:val="24"/>
          <w:lang w:val="zh-CN"/>
          <w14:textFill>
            <w14:solidFill>
              <w14:schemeClr w14:val="tx1">
                <w14:lumMod w14:val="95000"/>
                <w14:lumOff w14:val="5000"/>
              </w14:schemeClr>
            </w14:solidFill>
          </w14:textFill>
        </w:rPr>
      </w:pPr>
      <w:bookmarkStart w:id="1" w:name="baidusnap0"/>
      <w:bookmarkEnd w:id="1"/>
      <w:bookmarkStart w:id="2" w:name="baidusnap1"/>
      <w:bookmarkEnd w:id="2"/>
      <w:bookmarkStart w:id="3" w:name="baidusnap7"/>
      <w:bookmarkEnd w:id="3"/>
      <w:bookmarkStart w:id="4" w:name="baidusnap4"/>
      <w:bookmarkEnd w:id="4"/>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（一）成立时间：2018年12月31日之前成立。</w:t>
      </w:r>
    </w:p>
    <w:p>
      <w:pPr>
        <w:suppressAutoHyphens/>
        <w:topLinePunct/>
        <w:snapToGrid w:val="0"/>
        <w:spacing w:line="360" w:lineRule="auto"/>
        <w:ind w:firstLine="544" w:firstLineChars="227"/>
        <w:contextualSpacing/>
        <w:rPr>
          <w:rFonts w:ascii="宋体" w:hAnsi="宋体"/>
          <w:color w:val="0D0D0D" w:themeColor="text1" w:themeTint="F2"/>
          <w:kern w:val="0"/>
          <w:sz w:val="24"/>
          <w:szCs w:val="24"/>
          <w:lang w:val="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（二）执业资质：具备房地产咨询、策划、代理等营业许可。</w:t>
      </w:r>
    </w:p>
    <w:p>
      <w:pPr>
        <w:suppressAutoHyphens/>
        <w:topLinePunct/>
        <w:snapToGrid w:val="0"/>
        <w:spacing w:line="360" w:lineRule="auto"/>
        <w:ind w:firstLine="544" w:firstLineChars="227"/>
        <w:contextualSpacing/>
        <w:rPr>
          <w:rFonts w:ascii="宋体" w:hAnsi="宋体"/>
          <w:color w:val="0D0D0D" w:themeColor="text1" w:themeTint="F2"/>
          <w:kern w:val="0"/>
          <w:sz w:val="24"/>
          <w:szCs w:val="24"/>
          <w:lang w:val="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（三）公司业绩</w:t>
      </w:r>
    </w:p>
    <w:p>
      <w:pPr>
        <w:suppressAutoHyphens/>
        <w:topLinePunct/>
        <w:snapToGrid w:val="0"/>
        <w:spacing w:line="360" w:lineRule="auto"/>
        <w:ind w:firstLine="544" w:firstLineChars="227"/>
        <w:contextualSpacing/>
        <w:rPr>
          <w:rFonts w:ascii="宋体" w:hAnsi="宋体"/>
          <w:color w:val="0D0D0D" w:themeColor="text1" w:themeTint="F2"/>
          <w:kern w:val="0"/>
          <w:sz w:val="24"/>
          <w:szCs w:val="24"/>
          <w:lang w:val="zh-CN"/>
          <w14:textFill>
            <w14:solidFill>
              <w14:schemeClr w14:val="tx1">
                <w14:lumMod w14:val="95000"/>
                <w14:lumOff w14:val="5000"/>
              </w14:schemeClr>
            </w14:solidFill>
          </w14:textFill>
        </w:rPr>
      </w:pPr>
      <w:bookmarkStart w:id="5" w:name="_Hlk72857566"/>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2018年1月1日至今，在深圳承担规模在25万㎡以上综合体</w:t>
      </w:r>
      <w:bookmarkStart w:id="6" w:name="_Hlk72857633"/>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前期策划研究项目</w:t>
      </w:r>
      <w:bookmarkEnd w:id="6"/>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不少于3个。</w:t>
      </w:r>
    </w:p>
    <w:bookmarkEnd w:id="5"/>
    <w:p>
      <w:pPr>
        <w:suppressAutoHyphens/>
        <w:topLinePunct/>
        <w:snapToGrid w:val="0"/>
        <w:spacing w:line="360" w:lineRule="auto"/>
        <w:ind w:firstLine="544" w:firstLineChars="227"/>
        <w:contextualSpacing/>
        <w:rPr>
          <w:rFonts w:ascii="宋体" w:hAnsi="宋体"/>
          <w:color w:val="0D0D0D" w:themeColor="text1" w:themeTint="F2"/>
          <w:kern w:val="0"/>
          <w:sz w:val="24"/>
          <w:szCs w:val="24"/>
          <w:lang w:val="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备注：1.以上业绩证明材料需提供相关合同关键页复印件，日期以合同签约日期为准，面积以合同签约面积为准，若合同上无面积，需另外提供面积证明材料（加盖公章）；2.综合体项目指含住宅、写字楼、公寓、商业、酒店、产业等业态中至少3种及以上业态的项目。</w:t>
      </w:r>
    </w:p>
    <w:p>
      <w:pPr>
        <w:suppressAutoHyphens/>
        <w:topLinePunct/>
        <w:snapToGrid w:val="0"/>
        <w:spacing w:line="360" w:lineRule="auto"/>
        <w:ind w:firstLine="544" w:firstLineChars="227"/>
        <w:contextualSpacing/>
        <w:rPr>
          <w:rFonts w:ascii="宋体" w:hAnsi="宋体"/>
          <w:color w:val="0D0D0D" w:themeColor="text1" w:themeTint="F2"/>
          <w:kern w:val="0"/>
          <w:sz w:val="24"/>
          <w:szCs w:val="24"/>
          <w:lang w:val="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（四）2017年1月1日以来，有串通参选不良行为记录或涉嫌串通参选，并正在接受城市主管部门调查的参选申请人不得参选。</w:t>
      </w:r>
    </w:p>
    <w:p>
      <w:pPr>
        <w:suppressAutoHyphens/>
        <w:topLinePunct/>
        <w:snapToGrid w:val="0"/>
        <w:spacing w:line="360" w:lineRule="auto"/>
        <w:ind w:firstLine="544" w:firstLineChars="227"/>
        <w:contextualSpacing/>
        <w:rPr>
          <w:rFonts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（五）不接受联合体投标。</w:t>
      </w:r>
    </w:p>
    <w:p>
      <w:pPr>
        <w:suppressAutoHyphens/>
        <w:topLinePunct/>
        <w:snapToGrid w:val="0"/>
        <w:spacing w:line="360" w:lineRule="auto"/>
        <w:ind w:firstLine="547" w:firstLineChars="227"/>
        <w:contextualSpacing/>
        <w:rPr>
          <w:rFonts w:ascii="宋体" w:hAnsi="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color w:val="0D0D0D" w:themeColor="text1" w:themeTint="F2"/>
          <w:kern w:val="0"/>
          <w:sz w:val="24"/>
          <w:szCs w:val="24"/>
          <w14:textFill>
            <w14:solidFill>
              <w14:schemeClr w14:val="tx1">
                <w14:lumMod w14:val="95000"/>
                <w14:lumOff w14:val="5000"/>
              </w14:schemeClr>
            </w14:solidFill>
          </w14:textFill>
        </w:rPr>
        <w:t>六、比选时间、地点</w:t>
      </w:r>
    </w:p>
    <w:tbl>
      <w:tblPr>
        <w:tblStyle w:val="7"/>
        <w:tblW w:w="90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09"/>
        <w:gridCol w:w="1701"/>
        <w:gridCol w:w="2279"/>
        <w:gridCol w:w="435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23"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21"/>
                <w:szCs w:val="24"/>
                <w14:textFill>
                  <w14:solidFill>
                    <w14:schemeClr w14:val="tx1">
                      <w14:lumMod w14:val="95000"/>
                      <w14:lumOff w14:val="5000"/>
                    </w14:schemeClr>
                  </w14:solidFill>
                </w14:textFill>
              </w:rPr>
            </w:pPr>
            <w:r>
              <w:rPr>
                <w:rFonts w:hint="eastAsia" w:ascii="宋体" w:hAnsi="宋体"/>
                <w:bCs/>
                <w:color w:val="0D0D0D" w:themeColor="text1" w:themeTint="F2"/>
                <w:kern w:val="2"/>
                <w:sz w:val="21"/>
                <w:szCs w:val="24"/>
                <w14:textFill>
                  <w14:solidFill>
                    <w14:schemeClr w14:val="tx1">
                      <w14:lumMod w14:val="95000"/>
                      <w14:lumOff w14:val="5000"/>
                    </w14:schemeClr>
                  </w14:solidFill>
                </w14:textFill>
              </w:rPr>
              <w:t>序号</w:t>
            </w:r>
          </w:p>
        </w:tc>
        <w:tc>
          <w:tcPr>
            <w:tcW w:w="1701"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21"/>
                <w:szCs w:val="24"/>
                <w14:textFill>
                  <w14:solidFill>
                    <w14:schemeClr w14:val="tx1">
                      <w14:lumMod w14:val="95000"/>
                      <w14:lumOff w14:val="5000"/>
                    </w14:schemeClr>
                  </w14:solidFill>
                </w14:textFill>
              </w:rPr>
            </w:pPr>
            <w:r>
              <w:rPr>
                <w:rFonts w:hint="eastAsia" w:ascii="宋体" w:hAnsi="宋体"/>
                <w:bCs/>
                <w:color w:val="0D0D0D" w:themeColor="text1" w:themeTint="F2"/>
                <w:kern w:val="2"/>
                <w:sz w:val="21"/>
                <w:szCs w:val="24"/>
                <w14:textFill>
                  <w14:solidFill>
                    <w14:schemeClr w14:val="tx1">
                      <w14:lumMod w14:val="95000"/>
                      <w14:lumOff w14:val="5000"/>
                    </w14:schemeClr>
                  </w14:solidFill>
                </w14:textFill>
              </w:rPr>
              <w:t>内  容</w:t>
            </w:r>
          </w:p>
        </w:tc>
        <w:tc>
          <w:tcPr>
            <w:tcW w:w="2279"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21"/>
                <w:szCs w:val="24"/>
                <w14:textFill>
                  <w14:solidFill>
                    <w14:schemeClr w14:val="tx1">
                      <w14:lumMod w14:val="95000"/>
                      <w14:lumOff w14:val="5000"/>
                    </w14:schemeClr>
                  </w14:solidFill>
                </w14:textFill>
              </w:rPr>
            </w:pPr>
            <w:r>
              <w:rPr>
                <w:rFonts w:hint="eastAsia" w:ascii="宋体" w:hAnsi="宋体"/>
                <w:bCs/>
                <w:color w:val="0D0D0D" w:themeColor="text1" w:themeTint="F2"/>
                <w:kern w:val="2"/>
                <w:sz w:val="21"/>
                <w:szCs w:val="24"/>
                <w14:textFill>
                  <w14:solidFill>
                    <w14:schemeClr w14:val="tx1">
                      <w14:lumMod w14:val="95000"/>
                      <w14:lumOff w14:val="5000"/>
                    </w14:schemeClr>
                  </w14:solidFill>
                </w14:textFill>
              </w:rPr>
              <w:t>时间安排</w:t>
            </w:r>
          </w:p>
        </w:tc>
        <w:tc>
          <w:tcPr>
            <w:tcW w:w="4353"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21"/>
                <w:szCs w:val="24"/>
                <w14:textFill>
                  <w14:solidFill>
                    <w14:schemeClr w14:val="tx1">
                      <w14:lumMod w14:val="95000"/>
                      <w14:lumOff w14:val="5000"/>
                    </w14:schemeClr>
                  </w14:solidFill>
                </w14:textFill>
              </w:rPr>
            </w:pPr>
            <w:r>
              <w:rPr>
                <w:rFonts w:hint="eastAsia" w:ascii="宋体" w:hAnsi="宋体"/>
                <w:bCs/>
                <w:color w:val="0D0D0D" w:themeColor="text1" w:themeTint="F2"/>
                <w:kern w:val="2"/>
                <w:sz w:val="21"/>
                <w:szCs w:val="24"/>
                <w14:textFill>
                  <w14:solidFill>
                    <w14:schemeClr w14:val="tx1">
                      <w14:lumMod w14:val="95000"/>
                      <w14:lumOff w14:val="5000"/>
                    </w14:schemeClr>
                  </w14:solidFill>
                </w14:textFill>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32"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ind w:left="0" w:leftChars="0" w:firstLine="0" w:firstLineChars="0"/>
              <w:jc w:val="center"/>
              <w:rPr>
                <w:rFonts w:ascii="宋体" w:hAnsi="宋体"/>
                <w:bCs/>
                <w:color w:val="0D0D0D" w:themeColor="text1" w:themeTint="F2"/>
                <w:kern w:val="2"/>
                <w:sz w:val="21"/>
                <w:szCs w:val="24"/>
                <w14:textFill>
                  <w14:solidFill>
                    <w14:schemeClr w14:val="tx1">
                      <w14:lumMod w14:val="95000"/>
                      <w14:lumOff w14:val="5000"/>
                    </w14:schemeClr>
                  </w14:solidFill>
                </w14:textFill>
              </w:rPr>
            </w:pPr>
            <w:r>
              <w:rPr>
                <w:rFonts w:hint="eastAsia" w:ascii="宋体" w:hAnsi="宋体"/>
                <w:bCs/>
                <w:color w:val="0D0D0D" w:themeColor="text1" w:themeTint="F2"/>
                <w:kern w:val="2"/>
                <w:sz w:val="21"/>
                <w:szCs w:val="24"/>
                <w14:textFill>
                  <w14:solidFill>
                    <w14:schemeClr w14:val="tx1">
                      <w14:lumMod w14:val="95000"/>
                      <w14:lumOff w14:val="5000"/>
                    </w14:schemeClr>
                  </w14:solidFill>
                </w14:textFill>
              </w:rPr>
              <w:t>1</w:t>
            </w:r>
          </w:p>
        </w:tc>
        <w:tc>
          <w:tcPr>
            <w:tcW w:w="170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发布比选公告</w:t>
            </w:r>
          </w:p>
          <w:p>
            <w:pPr>
              <w:pStyle w:val="3"/>
              <w:adjustRightInd w:val="0"/>
              <w:snapToGrid w:val="0"/>
              <w:spacing w:line="240" w:lineRule="auto"/>
              <w:ind w:left="0" w:leftChars="0" w:firstLine="0" w:firstLineChars="0"/>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（发标）</w:t>
            </w:r>
          </w:p>
        </w:tc>
        <w:tc>
          <w:tcPr>
            <w:tcW w:w="227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t>6</w:t>
            </w:r>
            <w:r>
              <w:rPr>
                <w:rFonts w:hint="eastAsia" w:ascii="宋体" w:hAnsi="宋体"/>
                <w:bCs/>
                <w:color w:val="0D0D0D" w:themeColor="text1" w:themeTint="F2"/>
                <w:sz w:val="24"/>
                <w:szCs w:val="24"/>
                <w14:textFill>
                  <w14:solidFill>
                    <w14:schemeClr w14:val="tx1">
                      <w14:lumMod w14:val="95000"/>
                      <w14:lumOff w14:val="5000"/>
                    </w14:schemeClr>
                  </w14:solidFill>
                </w14:textFill>
              </w:rPr>
              <w:t>月4</w:t>
            </w:r>
            <w:r>
              <w:rPr>
                <w:rFonts w:ascii="宋体" w:hAnsi="宋体"/>
                <w:bCs/>
                <w:color w:val="0D0D0D" w:themeColor="text1" w:themeTint="F2"/>
                <w:sz w:val="24"/>
                <w:szCs w:val="24"/>
                <w14:textFill>
                  <w14:solidFill>
                    <w14:schemeClr w14:val="tx1">
                      <w14:lumMod w14:val="95000"/>
                      <w14:lumOff w14:val="5000"/>
                    </w14:schemeClr>
                  </w14:solidFill>
                </w14:textFill>
              </w:rPr>
              <w:t>日</w:t>
            </w:r>
          </w:p>
        </w:tc>
        <w:tc>
          <w:tcPr>
            <w:tcW w:w="435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240" w:lineRule="auto"/>
              <w:ind w:left="540" w:leftChars="44" w:hanging="448" w:hangingChars="187"/>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深圳市地铁集团有限公司外网、国资委</w:t>
            </w:r>
            <w:r>
              <w:rPr>
                <w:rFonts w:ascii="宋体" w:hAnsi="宋体"/>
                <w:bCs/>
                <w:color w:val="0D0D0D" w:themeColor="text1" w:themeTint="F2"/>
                <w:kern w:val="2"/>
                <w:sz w:val="24"/>
                <w:szCs w:val="24"/>
                <w14:textFill>
                  <w14:solidFill>
                    <w14:schemeClr w14:val="tx1">
                      <w14:lumMod w14:val="95000"/>
                      <w14:lumOff w14:val="5000"/>
                    </w14:schemeClr>
                  </w14:solidFill>
                </w14:textFill>
              </w:rPr>
              <w:t>阳光采购平台</w:t>
            </w: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71"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ind w:left="0" w:leftChars="0" w:firstLine="0" w:firstLineChars="0"/>
              <w:jc w:val="center"/>
              <w:rPr>
                <w:rFonts w:ascii="宋体" w:hAnsi="宋体"/>
                <w:bCs/>
                <w:color w:val="0D0D0D" w:themeColor="text1" w:themeTint="F2"/>
                <w:kern w:val="2"/>
                <w:sz w:val="21"/>
                <w:szCs w:val="24"/>
                <w14:textFill>
                  <w14:solidFill>
                    <w14:schemeClr w14:val="tx1">
                      <w14:lumMod w14:val="95000"/>
                      <w14:lumOff w14:val="5000"/>
                    </w14:schemeClr>
                  </w14:solidFill>
                </w14:textFill>
              </w:rPr>
            </w:pPr>
            <w:r>
              <w:rPr>
                <w:rFonts w:hint="eastAsia" w:ascii="宋体" w:hAnsi="宋体"/>
                <w:bCs/>
                <w:color w:val="0D0D0D" w:themeColor="text1" w:themeTint="F2"/>
                <w:kern w:val="2"/>
                <w:sz w:val="21"/>
                <w:szCs w:val="24"/>
                <w14:textFill>
                  <w14:solidFill>
                    <w14:schemeClr w14:val="tx1">
                      <w14:lumMod w14:val="95000"/>
                      <w14:lumOff w14:val="5000"/>
                    </w14:schemeClr>
                  </w14:solidFill>
                </w14:textFill>
              </w:rPr>
              <w:t>2</w:t>
            </w:r>
          </w:p>
        </w:tc>
        <w:tc>
          <w:tcPr>
            <w:tcW w:w="170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ascii="宋体" w:hAnsi="宋体"/>
                <w:bCs/>
                <w:color w:val="0D0D0D" w:themeColor="text1" w:themeTint="F2"/>
                <w:kern w:val="2"/>
                <w:sz w:val="24"/>
                <w:szCs w:val="24"/>
                <w14:textFill>
                  <w14:solidFill>
                    <w14:schemeClr w14:val="tx1">
                      <w14:lumMod w14:val="95000"/>
                      <w14:lumOff w14:val="5000"/>
                    </w14:schemeClr>
                  </w14:solidFill>
                </w14:textFill>
              </w:rPr>
              <w:t>截</w:t>
            </w: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标</w:t>
            </w:r>
          </w:p>
        </w:tc>
        <w:tc>
          <w:tcPr>
            <w:tcW w:w="227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t>6</w:t>
            </w:r>
            <w:r>
              <w:rPr>
                <w:rFonts w:hint="eastAsia" w:ascii="宋体" w:hAnsi="宋体"/>
                <w:bCs/>
                <w:color w:val="0D0D0D" w:themeColor="text1" w:themeTint="F2"/>
                <w:sz w:val="24"/>
                <w:szCs w:val="24"/>
                <w14:textFill>
                  <w14:solidFill>
                    <w14:schemeClr w14:val="tx1">
                      <w14:lumMod w14:val="95000"/>
                      <w14:lumOff w14:val="5000"/>
                    </w14:schemeClr>
                  </w14:solidFill>
                </w14:textFill>
              </w:rPr>
              <w:t>月</w:t>
            </w:r>
            <w:r>
              <w:rPr>
                <w:rFonts w:ascii="宋体" w:hAnsi="宋体"/>
                <w:bCs/>
                <w:color w:val="0D0D0D" w:themeColor="text1" w:themeTint="F2"/>
                <w:sz w:val="24"/>
                <w:szCs w:val="24"/>
                <w14:textFill>
                  <w14:solidFill>
                    <w14:schemeClr w14:val="tx1">
                      <w14:lumMod w14:val="95000"/>
                      <w14:lumOff w14:val="5000"/>
                    </w14:schemeClr>
                  </w14:solidFill>
                </w14:textFill>
              </w:rPr>
              <w:t>1</w:t>
            </w:r>
            <w:r>
              <w:rPr>
                <w:rFonts w:hint="eastAsia" w:ascii="宋体" w:hAnsi="宋体"/>
                <w:bCs/>
                <w:color w:val="0D0D0D" w:themeColor="text1" w:themeTint="F2"/>
                <w:sz w:val="24"/>
                <w:szCs w:val="24"/>
                <w14:textFill>
                  <w14:solidFill>
                    <w14:schemeClr w14:val="tx1">
                      <w14:lumMod w14:val="95000"/>
                      <w14:lumOff w14:val="5000"/>
                    </w14:schemeClr>
                  </w14:solidFill>
                </w14:textFill>
              </w:rPr>
              <w:t>7</w:t>
            </w:r>
            <w:r>
              <w:rPr>
                <w:rFonts w:ascii="宋体" w:hAnsi="宋体"/>
                <w:bCs/>
                <w:color w:val="0D0D0D" w:themeColor="text1" w:themeTint="F2"/>
                <w:sz w:val="24"/>
                <w:szCs w:val="24"/>
                <w14:textFill>
                  <w14:solidFill>
                    <w14:schemeClr w14:val="tx1">
                      <w14:lumMod w14:val="95000"/>
                      <w14:lumOff w14:val="5000"/>
                    </w14:schemeClr>
                  </w14:solidFill>
                </w14:textFill>
              </w:rPr>
              <w:t>日</w:t>
            </w:r>
            <w:r>
              <w:rPr>
                <w:rFonts w:hint="eastAsia" w:ascii="宋体" w:hAnsi="宋体"/>
                <w:bCs/>
                <w:color w:val="0D0D0D" w:themeColor="text1" w:themeTint="F2"/>
                <w:sz w:val="24"/>
                <w:szCs w:val="24"/>
                <w14:textFill>
                  <w14:solidFill>
                    <w14:schemeClr w14:val="tx1">
                      <w14:lumMod w14:val="95000"/>
                      <w14:lumOff w14:val="5000"/>
                    </w14:schemeClr>
                  </w14:solidFill>
                </w14:textFill>
              </w:rPr>
              <w:t>下午1</w:t>
            </w:r>
            <w:r>
              <w:rPr>
                <w:rFonts w:ascii="宋体" w:hAnsi="宋体"/>
                <w:bCs/>
                <w:color w:val="0D0D0D" w:themeColor="text1" w:themeTint="F2"/>
                <w:sz w:val="24"/>
                <w:szCs w:val="24"/>
                <w14:textFill>
                  <w14:solidFill>
                    <w14:schemeClr w14:val="tx1">
                      <w14:lumMod w14:val="95000"/>
                      <w14:lumOff w14:val="5000"/>
                    </w14:schemeClr>
                  </w14:solidFill>
                </w14:textFill>
              </w:rPr>
              <w:t>4</w:t>
            </w:r>
            <w:r>
              <w:rPr>
                <w:rFonts w:hint="eastAsia" w:ascii="宋体" w:hAnsi="宋体"/>
                <w:bCs/>
                <w:color w:val="0D0D0D" w:themeColor="text1" w:themeTint="F2"/>
                <w:sz w:val="24"/>
                <w:szCs w:val="24"/>
                <w14:textFill>
                  <w14:solidFill>
                    <w14:schemeClr w14:val="tx1">
                      <w14:lumMod w14:val="95000"/>
                      <w14:lumOff w14:val="5000"/>
                    </w14:schemeClr>
                  </w14:solidFill>
                </w14:textFill>
              </w:rPr>
              <w:t>:</w:t>
            </w:r>
            <w:r>
              <w:rPr>
                <w:rFonts w:ascii="宋体" w:hAnsi="宋体"/>
                <w:bCs/>
                <w:color w:val="0D0D0D" w:themeColor="text1" w:themeTint="F2"/>
                <w:sz w:val="24"/>
                <w:szCs w:val="24"/>
                <w14:textFill>
                  <w14:solidFill>
                    <w14:schemeClr w14:val="tx1">
                      <w14:lumMod w14:val="95000"/>
                      <w14:lumOff w14:val="5000"/>
                    </w14:schemeClr>
                  </w14:solidFill>
                </w14:textFill>
              </w:rPr>
              <w:t>30</w:t>
            </w:r>
          </w:p>
        </w:tc>
        <w:tc>
          <w:tcPr>
            <w:tcW w:w="435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141" w:leftChars="67" w:firstLine="0" w:firstLineChars="0"/>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参选</w:t>
            </w:r>
            <w:r>
              <w:rPr>
                <w:rFonts w:ascii="宋体" w:hAnsi="宋体"/>
                <w:bCs/>
                <w:color w:val="0D0D0D" w:themeColor="text1" w:themeTint="F2"/>
                <w:kern w:val="2"/>
                <w:sz w:val="24"/>
                <w:szCs w:val="24"/>
                <w14:textFill>
                  <w14:solidFill>
                    <w14:schemeClr w14:val="tx1">
                      <w14:lumMod w14:val="95000"/>
                      <w14:lumOff w14:val="5000"/>
                    </w14:schemeClr>
                  </w14:solidFill>
                </w14:textFill>
              </w:rPr>
              <w:t>文件递交</w:t>
            </w: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地点：地铁大厦会议室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0"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ind w:left="0" w:leftChars="0" w:firstLine="0" w:firstLineChars="0"/>
              <w:jc w:val="center"/>
              <w:rPr>
                <w:rFonts w:ascii="宋体" w:hAnsi="宋体"/>
                <w:bCs/>
                <w:color w:val="0D0D0D" w:themeColor="text1" w:themeTint="F2"/>
                <w:kern w:val="2"/>
                <w:sz w:val="21"/>
                <w:szCs w:val="24"/>
                <w14:textFill>
                  <w14:solidFill>
                    <w14:schemeClr w14:val="tx1">
                      <w14:lumMod w14:val="95000"/>
                      <w14:lumOff w14:val="5000"/>
                    </w14:schemeClr>
                  </w14:solidFill>
                </w14:textFill>
              </w:rPr>
            </w:pPr>
            <w:r>
              <w:rPr>
                <w:rFonts w:hint="eastAsia" w:ascii="宋体" w:hAnsi="宋体"/>
                <w:bCs/>
                <w:color w:val="0D0D0D" w:themeColor="text1" w:themeTint="F2"/>
                <w:kern w:val="2"/>
                <w:sz w:val="21"/>
                <w:szCs w:val="24"/>
                <w14:textFill>
                  <w14:solidFill>
                    <w14:schemeClr w14:val="tx1">
                      <w14:lumMod w14:val="95000"/>
                      <w14:lumOff w14:val="5000"/>
                    </w14:schemeClr>
                  </w14:solidFill>
                </w14:textFill>
              </w:rPr>
              <w:t>3</w:t>
            </w:r>
          </w:p>
        </w:tc>
        <w:tc>
          <w:tcPr>
            <w:tcW w:w="170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ascii="宋体" w:hAnsi="宋体"/>
                <w:bCs/>
                <w:color w:val="0D0D0D" w:themeColor="text1" w:themeTint="F2"/>
                <w:kern w:val="2"/>
                <w:sz w:val="24"/>
                <w:szCs w:val="24"/>
                <w14:textFill>
                  <w14:solidFill>
                    <w14:schemeClr w14:val="tx1">
                      <w14:lumMod w14:val="95000"/>
                      <w14:lumOff w14:val="5000"/>
                    </w14:schemeClr>
                  </w14:solidFill>
                </w14:textFill>
              </w:rPr>
              <w:t>开标</w:t>
            </w:r>
          </w:p>
        </w:tc>
        <w:tc>
          <w:tcPr>
            <w:tcW w:w="227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t>6</w:t>
            </w:r>
            <w:r>
              <w:rPr>
                <w:rFonts w:hint="eastAsia" w:ascii="宋体" w:hAnsi="宋体"/>
                <w:bCs/>
                <w:color w:val="0D0D0D" w:themeColor="text1" w:themeTint="F2"/>
                <w:sz w:val="24"/>
                <w:szCs w:val="24"/>
                <w14:textFill>
                  <w14:solidFill>
                    <w14:schemeClr w14:val="tx1">
                      <w14:lumMod w14:val="95000"/>
                      <w14:lumOff w14:val="5000"/>
                    </w14:schemeClr>
                  </w14:solidFill>
                </w14:textFill>
              </w:rPr>
              <w:t>月</w:t>
            </w:r>
            <w:r>
              <w:rPr>
                <w:rFonts w:ascii="宋体" w:hAnsi="宋体"/>
                <w:bCs/>
                <w:color w:val="0D0D0D" w:themeColor="text1" w:themeTint="F2"/>
                <w:sz w:val="24"/>
                <w:szCs w:val="24"/>
                <w14:textFill>
                  <w14:solidFill>
                    <w14:schemeClr w14:val="tx1">
                      <w14:lumMod w14:val="95000"/>
                      <w14:lumOff w14:val="5000"/>
                    </w14:schemeClr>
                  </w14:solidFill>
                </w14:textFill>
              </w:rPr>
              <w:t>1</w:t>
            </w:r>
            <w:r>
              <w:rPr>
                <w:rFonts w:hint="eastAsia" w:ascii="宋体" w:hAnsi="宋体"/>
                <w:bCs/>
                <w:color w:val="0D0D0D" w:themeColor="text1" w:themeTint="F2"/>
                <w:sz w:val="24"/>
                <w:szCs w:val="24"/>
                <w14:textFill>
                  <w14:solidFill>
                    <w14:schemeClr w14:val="tx1">
                      <w14:lumMod w14:val="95000"/>
                      <w14:lumOff w14:val="5000"/>
                    </w14:schemeClr>
                  </w14:solidFill>
                </w14:textFill>
              </w:rPr>
              <w:t>7日下午1</w:t>
            </w:r>
            <w:r>
              <w:rPr>
                <w:rFonts w:ascii="宋体" w:hAnsi="宋体"/>
                <w:bCs/>
                <w:color w:val="0D0D0D" w:themeColor="text1" w:themeTint="F2"/>
                <w:sz w:val="24"/>
                <w:szCs w:val="24"/>
                <w14:textFill>
                  <w14:solidFill>
                    <w14:schemeClr w14:val="tx1">
                      <w14:lumMod w14:val="95000"/>
                      <w14:lumOff w14:val="5000"/>
                    </w14:schemeClr>
                  </w14:solidFill>
                </w14:textFill>
              </w:rPr>
              <w:t>4</w:t>
            </w:r>
            <w:r>
              <w:rPr>
                <w:rFonts w:hint="eastAsia" w:ascii="宋体" w:hAnsi="宋体"/>
                <w:bCs/>
                <w:color w:val="0D0D0D" w:themeColor="text1" w:themeTint="F2"/>
                <w:sz w:val="24"/>
                <w:szCs w:val="24"/>
                <w14:textFill>
                  <w14:solidFill>
                    <w14:schemeClr w14:val="tx1">
                      <w14:lumMod w14:val="95000"/>
                      <w14:lumOff w14:val="5000"/>
                    </w14:schemeClr>
                  </w14:solidFill>
                </w14:textFill>
              </w:rPr>
              <w:t>:</w:t>
            </w:r>
            <w:r>
              <w:rPr>
                <w:rFonts w:ascii="宋体" w:hAnsi="宋体"/>
                <w:bCs/>
                <w:color w:val="0D0D0D" w:themeColor="text1" w:themeTint="F2"/>
                <w:sz w:val="24"/>
                <w:szCs w:val="24"/>
                <w14:textFill>
                  <w14:solidFill>
                    <w14:schemeClr w14:val="tx1">
                      <w14:lumMod w14:val="95000"/>
                      <w14:lumOff w14:val="5000"/>
                    </w14:schemeClr>
                  </w14:solidFill>
                </w14:textFill>
              </w:rPr>
              <w:t>30</w:t>
            </w:r>
          </w:p>
        </w:tc>
        <w:tc>
          <w:tcPr>
            <w:tcW w:w="435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143" w:leftChars="68" w:firstLine="38" w:firstLineChars="16"/>
              <w:jc w:val="center"/>
              <w:rPr>
                <w:rFonts w:ascii="宋体" w:hAnsi="宋体"/>
                <w:bCs/>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2"/>
                <w:sz w:val="24"/>
                <w:szCs w:val="24"/>
                <w14:textFill>
                  <w14:solidFill>
                    <w14:schemeClr w14:val="tx1">
                      <w14:lumMod w14:val="95000"/>
                      <w14:lumOff w14:val="5000"/>
                    </w14:schemeClr>
                  </w14:solidFill>
                </w14:textFill>
              </w:rPr>
              <w:t>开标地点：地铁大厦会议室</w:t>
            </w:r>
          </w:p>
        </w:tc>
      </w:tr>
    </w:tbl>
    <w:p>
      <w:pPr>
        <w:pStyle w:val="4"/>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七、参选</w:t>
      </w:r>
      <w:r>
        <w:rPr>
          <w:rFonts w:hAnsi="宋体"/>
          <w:b/>
          <w:color w:val="0D0D0D" w:themeColor="text1" w:themeTint="F2"/>
          <w:sz w:val="24"/>
          <w:szCs w:val="24"/>
          <w14:textFill>
            <w14:solidFill>
              <w14:schemeClr w14:val="tx1">
                <w14:lumMod w14:val="95000"/>
                <w14:lumOff w14:val="5000"/>
              </w14:schemeClr>
            </w14:solidFill>
          </w14:textFill>
        </w:rPr>
        <w:t>文件所需材料：</w:t>
      </w:r>
    </w:p>
    <w:p>
      <w:pPr>
        <w:pStyle w:val="4"/>
        <w:spacing w:line="360" w:lineRule="auto"/>
        <w:ind w:left="426"/>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1.根据比选</w:t>
      </w:r>
      <w:r>
        <w:rPr>
          <w:rFonts w:hAnsi="宋体"/>
          <w:color w:val="0D0D0D" w:themeColor="text1" w:themeTint="F2"/>
          <w:sz w:val="24"/>
          <w:szCs w:val="24"/>
          <w14:textFill>
            <w14:solidFill>
              <w14:schemeClr w14:val="tx1">
                <w14:lumMod w14:val="95000"/>
                <w14:lumOff w14:val="5000"/>
              </w14:schemeClr>
            </w14:solidFill>
          </w14:textFill>
        </w:rPr>
        <w:t>文件</w:t>
      </w:r>
      <w:r>
        <w:rPr>
          <w:rFonts w:hint="eastAsia" w:hAnsi="宋体"/>
          <w:color w:val="0D0D0D" w:themeColor="text1" w:themeTint="F2"/>
          <w:sz w:val="24"/>
          <w:szCs w:val="24"/>
          <w14:textFill>
            <w14:solidFill>
              <w14:schemeClr w14:val="tx1">
                <w14:lumMod w14:val="95000"/>
                <w14:lumOff w14:val="5000"/>
              </w14:schemeClr>
            </w14:solidFill>
          </w14:textFill>
        </w:rPr>
        <w:t>编制的参选</w:t>
      </w:r>
      <w:r>
        <w:rPr>
          <w:rFonts w:hAnsi="宋体"/>
          <w:color w:val="0D0D0D" w:themeColor="text1" w:themeTint="F2"/>
          <w:sz w:val="24"/>
          <w:szCs w:val="24"/>
          <w14:textFill>
            <w14:solidFill>
              <w14:schemeClr w14:val="tx1">
                <w14:lumMod w14:val="95000"/>
                <w14:lumOff w14:val="5000"/>
              </w14:schemeClr>
            </w14:solidFill>
          </w14:textFill>
        </w:rPr>
        <w:t>文件</w:t>
      </w:r>
      <w:r>
        <w:rPr>
          <w:rFonts w:hint="eastAsia" w:hAnsi="宋体"/>
          <w:color w:val="0D0D0D" w:themeColor="text1" w:themeTint="F2"/>
          <w:sz w:val="24"/>
          <w:szCs w:val="24"/>
          <w14:textFill>
            <w14:solidFill>
              <w14:schemeClr w14:val="tx1">
                <w14:lumMod w14:val="95000"/>
                <w14:lumOff w14:val="5000"/>
              </w14:schemeClr>
            </w14:solidFill>
          </w14:textFill>
        </w:rPr>
        <w:t>；</w:t>
      </w:r>
    </w:p>
    <w:p>
      <w:pPr>
        <w:pStyle w:val="4"/>
        <w:spacing w:line="360" w:lineRule="auto"/>
        <w:ind w:firstLine="424" w:firstLineChars="177"/>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14:textFill>
            <w14:solidFill>
              <w14:schemeClr w14:val="tx1">
                <w14:lumMod w14:val="95000"/>
                <w14:lumOff w14:val="5000"/>
              </w14:schemeClr>
            </w14:solidFill>
          </w14:textFill>
        </w:rPr>
        <w:t>2.</w:t>
      </w:r>
      <w:r>
        <w:rPr>
          <w:rFonts w:hint="eastAsia" w:hAnsi="宋体"/>
          <w:color w:val="0D0D0D" w:themeColor="text1" w:themeTint="F2"/>
          <w:sz w:val="24"/>
          <w:szCs w:val="24"/>
          <w14:textFill>
            <w14:solidFill>
              <w14:schemeClr w14:val="tx1">
                <w14:lumMod w14:val="95000"/>
                <w14:lumOff w14:val="5000"/>
              </w14:schemeClr>
            </w14:solidFill>
          </w14:textFill>
        </w:rPr>
        <w:t>如递交参选</w:t>
      </w:r>
      <w:r>
        <w:rPr>
          <w:rFonts w:hAnsi="宋体"/>
          <w:color w:val="0D0D0D" w:themeColor="text1" w:themeTint="F2"/>
          <w:sz w:val="24"/>
          <w:szCs w:val="24"/>
          <w14:textFill>
            <w14:solidFill>
              <w14:schemeClr w14:val="tx1">
                <w14:lumMod w14:val="95000"/>
                <w14:lumOff w14:val="5000"/>
              </w14:schemeClr>
            </w14:solidFill>
          </w14:textFill>
        </w:rPr>
        <w:t>文件的</w:t>
      </w:r>
      <w:r>
        <w:rPr>
          <w:rFonts w:hint="eastAsia" w:hAnsi="宋体"/>
          <w:color w:val="0D0D0D" w:themeColor="text1" w:themeTint="F2"/>
          <w:sz w:val="24"/>
          <w:szCs w:val="24"/>
          <w14:textFill>
            <w14:solidFill>
              <w14:schemeClr w14:val="tx1">
                <w14:lumMod w14:val="95000"/>
                <w14:lumOff w14:val="5000"/>
              </w14:schemeClr>
            </w14:solidFill>
          </w14:textFill>
        </w:rPr>
        <w:t>参选</w:t>
      </w:r>
      <w:r>
        <w:rPr>
          <w:rFonts w:hAnsi="宋体"/>
          <w:color w:val="0D0D0D" w:themeColor="text1" w:themeTint="F2"/>
          <w:sz w:val="24"/>
          <w:szCs w:val="24"/>
          <w14:textFill>
            <w14:solidFill>
              <w14:schemeClr w14:val="tx1">
                <w14:lumMod w14:val="95000"/>
                <w14:lumOff w14:val="5000"/>
              </w14:schemeClr>
            </w14:solidFill>
          </w14:textFill>
        </w:rPr>
        <w:t>人</w:t>
      </w:r>
      <w:r>
        <w:rPr>
          <w:rFonts w:hint="eastAsia" w:hAnsi="宋体"/>
          <w:color w:val="0D0D0D" w:themeColor="text1" w:themeTint="F2"/>
          <w:sz w:val="24"/>
          <w:szCs w:val="24"/>
          <w14:textFill>
            <w14:solidFill>
              <w14:schemeClr w14:val="tx1">
                <w14:lumMod w14:val="95000"/>
                <w14:lumOff w14:val="5000"/>
              </w14:schemeClr>
            </w14:solidFill>
          </w14:textFill>
        </w:rPr>
        <w:t>为参选单位的法定代表人（法定</w:t>
      </w:r>
      <w:r>
        <w:rPr>
          <w:rFonts w:hAnsi="宋体"/>
          <w:color w:val="0D0D0D" w:themeColor="text1" w:themeTint="F2"/>
          <w:sz w:val="24"/>
          <w:szCs w:val="24"/>
          <w14:textFill>
            <w14:solidFill>
              <w14:schemeClr w14:val="tx1">
                <w14:lumMod w14:val="95000"/>
                <w14:lumOff w14:val="5000"/>
              </w14:schemeClr>
            </w14:solidFill>
          </w14:textFill>
        </w:rPr>
        <w:t>负责人</w:t>
      </w:r>
      <w:r>
        <w:rPr>
          <w:rFonts w:hint="eastAsia" w:hAnsi="宋体"/>
          <w:color w:val="0D0D0D" w:themeColor="text1" w:themeTint="F2"/>
          <w:sz w:val="24"/>
          <w:szCs w:val="24"/>
          <w14:textFill>
            <w14:solidFill>
              <w14:schemeClr w14:val="tx1">
                <w14:lumMod w14:val="95000"/>
                <w14:lumOff w14:val="5000"/>
              </w14:schemeClr>
            </w14:solidFill>
          </w14:textFill>
        </w:rPr>
        <w:t>），须携带法定代表人证明书及本人身份证原件和复印件；如递交参选</w:t>
      </w:r>
      <w:r>
        <w:rPr>
          <w:rFonts w:hAnsi="宋体"/>
          <w:color w:val="0D0D0D" w:themeColor="text1" w:themeTint="F2"/>
          <w:sz w:val="24"/>
          <w:szCs w:val="24"/>
          <w14:textFill>
            <w14:solidFill>
              <w14:schemeClr w14:val="tx1">
                <w14:lumMod w14:val="95000"/>
                <w14:lumOff w14:val="5000"/>
              </w14:schemeClr>
            </w14:solidFill>
          </w14:textFill>
        </w:rPr>
        <w:t>文件的</w:t>
      </w:r>
      <w:r>
        <w:rPr>
          <w:rFonts w:hint="eastAsia" w:hAnsi="宋体"/>
          <w:color w:val="0D0D0D" w:themeColor="text1" w:themeTint="F2"/>
          <w:sz w:val="24"/>
          <w:szCs w:val="24"/>
          <w14:textFill>
            <w14:solidFill>
              <w14:schemeClr w14:val="tx1">
                <w14:lumMod w14:val="95000"/>
                <w14:lumOff w14:val="5000"/>
              </w14:schemeClr>
            </w14:solidFill>
          </w14:textFill>
        </w:rPr>
        <w:t>参选</w:t>
      </w:r>
      <w:r>
        <w:rPr>
          <w:rFonts w:hAnsi="宋体"/>
          <w:color w:val="0D0D0D" w:themeColor="text1" w:themeTint="F2"/>
          <w:sz w:val="24"/>
          <w:szCs w:val="24"/>
          <w14:textFill>
            <w14:solidFill>
              <w14:schemeClr w14:val="tx1">
                <w14:lumMod w14:val="95000"/>
                <w14:lumOff w14:val="5000"/>
              </w14:schemeClr>
            </w14:solidFill>
          </w14:textFill>
        </w:rPr>
        <w:t>人</w:t>
      </w:r>
      <w:r>
        <w:rPr>
          <w:rFonts w:hint="eastAsia" w:hAnsi="宋体"/>
          <w:color w:val="0D0D0D" w:themeColor="text1" w:themeTint="F2"/>
          <w:sz w:val="24"/>
          <w:szCs w:val="24"/>
          <w14:textFill>
            <w14:solidFill>
              <w14:schemeClr w14:val="tx1">
                <w14:lumMod w14:val="95000"/>
                <w14:lumOff w14:val="5000"/>
              </w14:schemeClr>
            </w14:solidFill>
          </w14:textFill>
        </w:rPr>
        <w:t>不是法定代表人，除携带本人身份证复印件外，还需携带法定代表人证明书和法定代表人身份证复印件及授权委托书。</w:t>
      </w:r>
    </w:p>
    <w:p>
      <w:pPr>
        <w:pStyle w:val="4"/>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八</w:t>
      </w:r>
      <w:r>
        <w:rPr>
          <w:rFonts w:hAnsi="宋体"/>
          <w:b/>
          <w:color w:val="0D0D0D" w:themeColor="text1" w:themeTint="F2"/>
          <w:sz w:val="24"/>
          <w:szCs w:val="24"/>
          <w14:textFill>
            <w14:solidFill>
              <w14:schemeClr w14:val="tx1">
                <w14:lumMod w14:val="95000"/>
                <w14:lumOff w14:val="5000"/>
              </w14:schemeClr>
            </w14:solidFill>
          </w14:textFill>
        </w:rPr>
        <w:t>、</w:t>
      </w:r>
      <w:r>
        <w:rPr>
          <w:rFonts w:hint="eastAsia" w:hAnsi="宋体"/>
          <w:b/>
          <w:color w:val="0D0D0D" w:themeColor="text1" w:themeTint="F2"/>
          <w:sz w:val="24"/>
          <w:szCs w:val="24"/>
          <w14:textFill>
            <w14:solidFill>
              <w14:schemeClr w14:val="tx1">
                <w14:lumMod w14:val="95000"/>
                <w14:lumOff w14:val="5000"/>
              </w14:schemeClr>
            </w14:solidFill>
          </w14:textFill>
        </w:rPr>
        <w:t>参选</w:t>
      </w:r>
      <w:bookmarkStart w:id="7" w:name="_GoBack"/>
      <w:bookmarkEnd w:id="7"/>
      <w:r>
        <w:rPr>
          <w:rFonts w:hint="eastAsia" w:hAnsi="宋体"/>
          <w:b/>
          <w:color w:val="0D0D0D" w:themeColor="text1" w:themeTint="F2"/>
          <w:sz w:val="24"/>
          <w:szCs w:val="24"/>
          <w14:textFill>
            <w14:solidFill>
              <w14:schemeClr w14:val="tx1">
                <w14:lumMod w14:val="95000"/>
                <w14:lumOff w14:val="5000"/>
              </w14:schemeClr>
            </w14:solidFill>
          </w14:textFill>
        </w:rPr>
        <w:t>联系人</w:t>
      </w:r>
    </w:p>
    <w:p>
      <w:pPr>
        <w:pStyle w:val="4"/>
        <w:spacing w:line="360" w:lineRule="auto"/>
        <w:ind w:firstLine="480" w:firstLineChars="200"/>
        <w:rPr>
          <w:rFonts w:hAnsi="宋体"/>
          <w:color w:val="0D0D0D" w:themeColor="text1" w:themeTint="F2"/>
          <w:sz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联系人：郭</w:t>
      </w:r>
      <w:r>
        <w:rPr>
          <w:rFonts w:hint="eastAsia" w:hAnsi="宋体"/>
          <w:color w:val="0D0D0D" w:themeColor="text1" w:themeTint="F2"/>
          <w:sz w:val="24"/>
          <w14:textFill>
            <w14:solidFill>
              <w14:schemeClr w14:val="tx1">
                <w14:lumMod w14:val="95000"/>
                <w14:lumOff w14:val="5000"/>
              </w14:schemeClr>
            </w14:solidFill>
          </w14:textFill>
        </w:rPr>
        <w:t>小姐</w:t>
      </w:r>
    </w:p>
    <w:p>
      <w:pPr>
        <w:pStyle w:val="4"/>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联系电话：</w:t>
      </w:r>
      <w:r>
        <w:rPr>
          <w:rFonts w:hAnsi="宋体"/>
          <w:color w:val="0D0D0D" w:themeColor="text1" w:themeTint="F2"/>
          <w:sz w:val="24"/>
          <w14:textFill>
            <w14:solidFill>
              <w14:schemeClr w14:val="tx1">
                <w14:lumMod w14:val="95000"/>
                <w14:lumOff w14:val="5000"/>
              </w14:schemeClr>
            </w14:solidFill>
          </w14:textFill>
        </w:rPr>
        <w:t>0755-23882583</w:t>
      </w:r>
    </w:p>
    <w:p>
      <w:pPr>
        <w:pStyle w:val="4"/>
        <w:spacing w:line="360" w:lineRule="auto"/>
        <w:ind w:firstLine="480" w:firstLineChars="200"/>
        <w:jc w:val="right"/>
        <w:rPr>
          <w:rFonts w:hAnsi="宋体"/>
          <w:color w:val="0D0D0D" w:themeColor="text1" w:themeTint="F2"/>
          <w:sz w:val="24"/>
          <w:szCs w:val="24"/>
          <w14:textFill>
            <w14:solidFill>
              <w14:schemeClr w14:val="tx1">
                <w14:lumMod w14:val="95000"/>
                <w14:lumOff w14:val="5000"/>
              </w14:schemeClr>
            </w14:solidFill>
          </w14:textFill>
        </w:rPr>
      </w:pPr>
    </w:p>
    <w:p>
      <w:pPr>
        <w:pStyle w:val="4"/>
        <w:spacing w:line="360" w:lineRule="auto"/>
        <w:ind w:firstLine="480" w:firstLineChars="200"/>
        <w:jc w:val="righ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深圳市地铁集团有限公司</w:t>
      </w:r>
    </w:p>
    <w:p>
      <w:pPr>
        <w:pStyle w:val="4"/>
        <w:spacing w:line="480" w:lineRule="atLeast"/>
        <w:ind w:firstLine="480" w:firstLineChars="200"/>
        <w:jc w:val="right"/>
        <w:rPr>
          <w:rFonts w:hAnsi="宋体" w:cs="宋体"/>
          <w:color w:val="0D0D0D" w:themeColor="text1" w:themeTint="F2"/>
          <w:sz w:val="24"/>
          <w:szCs w:val="24"/>
          <w14:textFill>
            <w14:solidFill>
              <w14:schemeClr w14:val="tx1">
                <w14:lumMod w14:val="95000"/>
                <w14:lumOff w14:val="5000"/>
              </w14:schemeClr>
            </w14:solidFill>
          </w14:textFill>
        </w:rPr>
      </w:pPr>
      <w:r>
        <w:rPr>
          <w:rFonts w:hint="eastAsia" w:hAnsi="宋体" w:cs="宋体"/>
          <w:color w:val="0D0D0D" w:themeColor="text1" w:themeTint="F2"/>
          <w:sz w:val="24"/>
          <w:szCs w:val="24"/>
          <w14:textFill>
            <w14:solidFill>
              <w14:schemeClr w14:val="tx1">
                <w14:lumMod w14:val="95000"/>
                <w14:lumOff w14:val="5000"/>
              </w14:schemeClr>
            </w14:solidFill>
          </w14:textFill>
        </w:rPr>
        <w:t>          </w:t>
      </w:r>
      <w:r>
        <w:rPr>
          <w:rFonts w:hAnsi="宋体" w:cs="宋体"/>
          <w:color w:val="0D0D0D" w:themeColor="text1" w:themeTint="F2"/>
          <w:sz w:val="24"/>
          <w:szCs w:val="24"/>
          <w14:textFill>
            <w14:solidFill>
              <w14:schemeClr w14:val="tx1">
                <w14:lumMod w14:val="95000"/>
                <w14:lumOff w14:val="5000"/>
              </w14:schemeClr>
            </w14:solidFill>
          </w14:textFill>
        </w:rPr>
        <w:t>2021</w:t>
      </w:r>
      <w:r>
        <w:rPr>
          <w:rFonts w:hAnsi="宋体"/>
          <w:color w:val="0D0D0D" w:themeColor="text1" w:themeTint="F2"/>
          <w:sz w:val="24"/>
          <w14:textFill>
            <w14:solidFill>
              <w14:schemeClr w14:val="tx1">
                <w14:lumMod w14:val="95000"/>
                <w14:lumOff w14:val="5000"/>
              </w14:schemeClr>
            </w14:solidFill>
          </w14:textFill>
        </w:rPr>
        <w:t>年6</w:t>
      </w:r>
      <w:r>
        <w:rPr>
          <w:rFonts w:hint="eastAsia" w:hAnsi="宋体"/>
          <w:color w:val="0D0D0D" w:themeColor="text1" w:themeTint="F2"/>
          <w:sz w:val="24"/>
          <w14:textFill>
            <w14:solidFill>
              <w14:schemeClr w14:val="tx1">
                <w14:lumMod w14:val="95000"/>
                <w14:lumOff w14:val="5000"/>
              </w14:schemeClr>
            </w14:solidFill>
          </w14:textFill>
        </w:rPr>
        <w:t>月4日</w:t>
      </w:r>
      <w:r>
        <w:rPr>
          <w:rFonts w:hint="eastAsia" w:hAnsi="宋体" w:cs="宋体"/>
          <w:color w:val="0D0D0D" w:themeColor="text1" w:themeTint="F2"/>
          <w:sz w:val="24"/>
          <w:szCs w:val="24"/>
          <w14:textFill>
            <w14:solidFill>
              <w14:schemeClr w14:val="tx1">
                <w14:lumMod w14:val="95000"/>
                <w14:lumOff w14:val="5000"/>
              </w14:schemeClr>
            </w14:solidFill>
          </w14:textFill>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6AC"/>
    <w:rsid w:val="00007EC4"/>
    <w:rsid w:val="00024E58"/>
    <w:rsid w:val="000361A9"/>
    <w:rsid w:val="0003653B"/>
    <w:rsid w:val="0008270E"/>
    <w:rsid w:val="000A7846"/>
    <w:rsid w:val="000D7107"/>
    <w:rsid w:val="000E0D6E"/>
    <w:rsid w:val="000E66B4"/>
    <w:rsid w:val="0018336D"/>
    <w:rsid w:val="001D2969"/>
    <w:rsid w:val="00203539"/>
    <w:rsid w:val="00236854"/>
    <w:rsid w:val="00241734"/>
    <w:rsid w:val="00243506"/>
    <w:rsid w:val="002569A5"/>
    <w:rsid w:val="002717AC"/>
    <w:rsid w:val="0027687E"/>
    <w:rsid w:val="00277076"/>
    <w:rsid w:val="00285474"/>
    <w:rsid w:val="002C1C3B"/>
    <w:rsid w:val="002E4933"/>
    <w:rsid w:val="003565D5"/>
    <w:rsid w:val="00374C06"/>
    <w:rsid w:val="003A127F"/>
    <w:rsid w:val="003B4AE6"/>
    <w:rsid w:val="003C5320"/>
    <w:rsid w:val="003C54B1"/>
    <w:rsid w:val="003C63C6"/>
    <w:rsid w:val="003D6266"/>
    <w:rsid w:val="00404EF4"/>
    <w:rsid w:val="00407913"/>
    <w:rsid w:val="0041109B"/>
    <w:rsid w:val="00420217"/>
    <w:rsid w:val="004A1DC4"/>
    <w:rsid w:val="004A7F1F"/>
    <w:rsid w:val="004D697A"/>
    <w:rsid w:val="00503FCC"/>
    <w:rsid w:val="0051013B"/>
    <w:rsid w:val="00512A78"/>
    <w:rsid w:val="005204C8"/>
    <w:rsid w:val="00534476"/>
    <w:rsid w:val="00562E3D"/>
    <w:rsid w:val="00576805"/>
    <w:rsid w:val="005857C8"/>
    <w:rsid w:val="00592377"/>
    <w:rsid w:val="005A1CA7"/>
    <w:rsid w:val="005B705D"/>
    <w:rsid w:val="00613CBD"/>
    <w:rsid w:val="0062302F"/>
    <w:rsid w:val="006248F0"/>
    <w:rsid w:val="00624E9A"/>
    <w:rsid w:val="00625F5C"/>
    <w:rsid w:val="006451CD"/>
    <w:rsid w:val="006504AD"/>
    <w:rsid w:val="00666E4A"/>
    <w:rsid w:val="0068657F"/>
    <w:rsid w:val="006B0596"/>
    <w:rsid w:val="006D2A9F"/>
    <w:rsid w:val="006F7DC8"/>
    <w:rsid w:val="007206AB"/>
    <w:rsid w:val="00751FBC"/>
    <w:rsid w:val="0079673A"/>
    <w:rsid w:val="007A78B4"/>
    <w:rsid w:val="00805D89"/>
    <w:rsid w:val="008344FB"/>
    <w:rsid w:val="00840D9F"/>
    <w:rsid w:val="0084106D"/>
    <w:rsid w:val="008556E8"/>
    <w:rsid w:val="00861651"/>
    <w:rsid w:val="00886FB2"/>
    <w:rsid w:val="00897840"/>
    <w:rsid w:val="008A692E"/>
    <w:rsid w:val="008B06F5"/>
    <w:rsid w:val="008B42C4"/>
    <w:rsid w:val="009304ED"/>
    <w:rsid w:val="009344BB"/>
    <w:rsid w:val="00944FD2"/>
    <w:rsid w:val="009563E1"/>
    <w:rsid w:val="00957C7A"/>
    <w:rsid w:val="00974F39"/>
    <w:rsid w:val="00980CEC"/>
    <w:rsid w:val="00984B25"/>
    <w:rsid w:val="009A1944"/>
    <w:rsid w:val="009A2A93"/>
    <w:rsid w:val="009C2E48"/>
    <w:rsid w:val="009F474A"/>
    <w:rsid w:val="00A13839"/>
    <w:rsid w:val="00A30065"/>
    <w:rsid w:val="00A47DAF"/>
    <w:rsid w:val="00A57AD3"/>
    <w:rsid w:val="00A71749"/>
    <w:rsid w:val="00A765A5"/>
    <w:rsid w:val="00A839BC"/>
    <w:rsid w:val="00AE1A86"/>
    <w:rsid w:val="00AF2C36"/>
    <w:rsid w:val="00AF4305"/>
    <w:rsid w:val="00B1197A"/>
    <w:rsid w:val="00B162FC"/>
    <w:rsid w:val="00B216F3"/>
    <w:rsid w:val="00B2406C"/>
    <w:rsid w:val="00B26496"/>
    <w:rsid w:val="00B366A1"/>
    <w:rsid w:val="00B4296A"/>
    <w:rsid w:val="00B52D7C"/>
    <w:rsid w:val="00B55C30"/>
    <w:rsid w:val="00B77AB5"/>
    <w:rsid w:val="00BF31F2"/>
    <w:rsid w:val="00C33C88"/>
    <w:rsid w:val="00C4360E"/>
    <w:rsid w:val="00C556AC"/>
    <w:rsid w:val="00C72A44"/>
    <w:rsid w:val="00C767BB"/>
    <w:rsid w:val="00C77F03"/>
    <w:rsid w:val="00CC7559"/>
    <w:rsid w:val="00CD372A"/>
    <w:rsid w:val="00CE003A"/>
    <w:rsid w:val="00CF11B3"/>
    <w:rsid w:val="00D12BB3"/>
    <w:rsid w:val="00D147F4"/>
    <w:rsid w:val="00D2738A"/>
    <w:rsid w:val="00D32C24"/>
    <w:rsid w:val="00D52B38"/>
    <w:rsid w:val="00D559E1"/>
    <w:rsid w:val="00D716BB"/>
    <w:rsid w:val="00D75572"/>
    <w:rsid w:val="00D95FB5"/>
    <w:rsid w:val="00DB70C5"/>
    <w:rsid w:val="00DC6F2B"/>
    <w:rsid w:val="00DC76C7"/>
    <w:rsid w:val="00DE7C7D"/>
    <w:rsid w:val="00E15CC7"/>
    <w:rsid w:val="00E52B9C"/>
    <w:rsid w:val="00E62905"/>
    <w:rsid w:val="00E63018"/>
    <w:rsid w:val="00E71A05"/>
    <w:rsid w:val="00E73D1D"/>
    <w:rsid w:val="00E8321F"/>
    <w:rsid w:val="00E85A8F"/>
    <w:rsid w:val="00E959F7"/>
    <w:rsid w:val="00EC157F"/>
    <w:rsid w:val="00ED2882"/>
    <w:rsid w:val="00EE0F18"/>
    <w:rsid w:val="00F04C6B"/>
    <w:rsid w:val="00F17D85"/>
    <w:rsid w:val="00F2626E"/>
    <w:rsid w:val="00F33A70"/>
    <w:rsid w:val="00F42212"/>
    <w:rsid w:val="00F93006"/>
    <w:rsid w:val="00F95C17"/>
    <w:rsid w:val="00FE344E"/>
    <w:rsid w:val="00FF49CB"/>
    <w:rsid w:val="2D3E6A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3"/>
    <w:basedOn w:val="1"/>
    <w:next w:val="1"/>
    <w:link w:val="9"/>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ody Text Indent"/>
    <w:basedOn w:val="1"/>
    <w:link w:val="10"/>
    <w:qFormat/>
    <w:uiPriority w:val="0"/>
    <w:pPr>
      <w:spacing w:line="360" w:lineRule="auto"/>
      <w:ind w:left="540" w:leftChars="257" w:firstLine="360" w:firstLineChars="150"/>
    </w:pPr>
    <w:rPr>
      <w:kern w:val="0"/>
      <w:sz w:val="20"/>
    </w:rPr>
  </w:style>
  <w:style w:type="paragraph" w:styleId="4">
    <w:name w:val="Plain Text"/>
    <w:basedOn w:val="1"/>
    <w:link w:val="11"/>
    <w:qFormat/>
    <w:uiPriority w:val="0"/>
    <w:pPr>
      <w:adjustRightInd w:val="0"/>
      <w:spacing w:line="312" w:lineRule="atLeast"/>
      <w:textAlignment w:val="baseline"/>
    </w:pPr>
    <w:rPr>
      <w:rFonts w:ascii="宋体" w:hAnsi="Courier New"/>
      <w:kern w:val="0"/>
      <w:sz w:val="20"/>
    </w:rPr>
  </w:style>
  <w:style w:type="paragraph" w:styleId="5">
    <w:name w:val="footer"/>
    <w:basedOn w:val="1"/>
    <w:link w:val="16"/>
    <w:unhideWhenUsed/>
    <w:uiPriority w:val="99"/>
    <w:pPr>
      <w:tabs>
        <w:tab w:val="center" w:pos="4153"/>
        <w:tab w:val="right" w:pos="8306"/>
      </w:tabs>
      <w:snapToGrid w:val="0"/>
      <w:jc w:val="left"/>
    </w:pPr>
    <w:rPr>
      <w:sz w:val="18"/>
      <w:szCs w:val="18"/>
    </w:rPr>
  </w:style>
  <w:style w:type="paragraph" w:styleId="6">
    <w:name w:val="header"/>
    <w:basedOn w:val="1"/>
    <w:link w:val="15"/>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9">
    <w:name w:val="标题 3 字符"/>
    <w:basedOn w:val="8"/>
    <w:link w:val="2"/>
    <w:qFormat/>
    <w:uiPriority w:val="0"/>
    <w:rPr>
      <w:rFonts w:ascii="Times New Roman" w:hAnsi="Times New Roman" w:eastAsia="宋体" w:cs="Times New Roman"/>
      <w:b/>
      <w:kern w:val="0"/>
      <w:sz w:val="32"/>
      <w:szCs w:val="20"/>
    </w:rPr>
  </w:style>
  <w:style w:type="character" w:customStyle="1" w:styleId="10">
    <w:name w:val="正文文本缩进 字符"/>
    <w:basedOn w:val="8"/>
    <w:link w:val="3"/>
    <w:qFormat/>
    <w:uiPriority w:val="0"/>
    <w:rPr>
      <w:rFonts w:ascii="Times New Roman" w:hAnsi="Times New Roman" w:eastAsia="宋体" w:cs="Times New Roman"/>
      <w:kern w:val="0"/>
      <w:sz w:val="20"/>
      <w:szCs w:val="20"/>
    </w:rPr>
  </w:style>
  <w:style w:type="character" w:customStyle="1" w:styleId="11">
    <w:name w:val="纯文本 字符"/>
    <w:basedOn w:val="8"/>
    <w:link w:val="4"/>
    <w:qFormat/>
    <w:uiPriority w:val="0"/>
    <w:rPr>
      <w:rFonts w:ascii="宋体" w:hAnsi="Courier New" w:eastAsia="宋体" w:cs="Times New Roman"/>
      <w:kern w:val="0"/>
      <w:sz w:val="20"/>
      <w:szCs w:val="20"/>
    </w:rPr>
  </w:style>
  <w:style w:type="paragraph" w:styleId="12">
    <w:name w:val="List Paragraph"/>
    <w:basedOn w:val="1"/>
    <w:link w:val="13"/>
    <w:qFormat/>
    <w:uiPriority w:val="34"/>
    <w:pPr>
      <w:ind w:firstLine="420" w:firstLineChars="200"/>
    </w:pPr>
  </w:style>
  <w:style w:type="character" w:customStyle="1" w:styleId="13">
    <w:name w:val="列表段落 字符"/>
    <w:link w:val="12"/>
    <w:qFormat/>
    <w:uiPriority w:val="34"/>
    <w:rPr>
      <w:rFonts w:ascii="Times New Roman" w:hAnsi="Times New Roman" w:eastAsia="宋体" w:cs="Times New Roman"/>
      <w:szCs w:val="20"/>
    </w:rPr>
  </w:style>
  <w:style w:type="paragraph" w:customStyle="1" w:styleId="14">
    <w:name w:val="列出段落1"/>
    <w:basedOn w:val="1"/>
    <w:qFormat/>
    <w:uiPriority w:val="34"/>
    <w:pPr>
      <w:ind w:firstLine="420" w:firstLineChars="200"/>
    </w:pPr>
    <w:rPr>
      <w:rFonts w:ascii="Calibri" w:hAnsi="Calibri"/>
      <w:szCs w:val="22"/>
    </w:rPr>
  </w:style>
  <w:style w:type="character" w:customStyle="1" w:styleId="15">
    <w:name w:val="页眉 字符"/>
    <w:basedOn w:val="8"/>
    <w:link w:val="6"/>
    <w:uiPriority w:val="99"/>
    <w:rPr>
      <w:rFonts w:ascii="Times New Roman" w:hAnsi="Times New Roman" w:eastAsia="宋体" w:cs="Times New Roman"/>
      <w:sz w:val="18"/>
      <w:szCs w:val="18"/>
    </w:rPr>
  </w:style>
  <w:style w:type="character" w:customStyle="1" w:styleId="16">
    <w:name w:val="页脚 字符"/>
    <w:basedOn w:val="8"/>
    <w:link w:val="5"/>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372</Words>
  <Characters>2121</Characters>
  <Lines>17</Lines>
  <Paragraphs>4</Paragraphs>
  <TotalTime>70</TotalTime>
  <ScaleCrop>false</ScaleCrop>
  <LinksUpToDate>false</LinksUpToDate>
  <CharactersWithSpaces>2489</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2021-05-25T02:31:00Z</dcterms:created>
  <dc:creator>NTKO</dc:creator>
  <cp:lastModifiedBy>NTKO</cp:lastModifiedBy>
  <dcterms:modified xsi:type="dcterms:W3CDTF">2021-06-03T07:02:52Z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