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仿宋_GB2312"/>
          <w:sz w:val="36"/>
          <w:szCs w:val="36"/>
        </w:rPr>
      </w:pPr>
    </w:p>
    <w:p>
      <w:pPr>
        <w:jc w:val="center"/>
        <w:rPr>
          <w:rFonts w:ascii="宋体" w:hAnsi="宋体" w:cs="仿宋_GB2312"/>
          <w:sz w:val="52"/>
          <w:szCs w:val="52"/>
        </w:rPr>
      </w:pPr>
    </w:p>
    <w:p>
      <w:pPr>
        <w:jc w:val="center"/>
        <w:rPr>
          <w:rFonts w:ascii="宋体" w:hAnsi="宋体" w:cs="仿宋_GB2312"/>
          <w:sz w:val="44"/>
          <w:szCs w:val="44"/>
        </w:rPr>
      </w:pPr>
      <w:r>
        <w:rPr>
          <w:rFonts w:hint="eastAsia" w:ascii="宋体" w:hAnsi="宋体" w:cs="仿宋_GB2312"/>
          <w:sz w:val="44"/>
          <w:szCs w:val="44"/>
        </w:rPr>
        <w:t>深圳铁路投资建设集团有限公司</w:t>
      </w:r>
    </w:p>
    <w:p>
      <w:pPr>
        <w:jc w:val="center"/>
        <w:rPr>
          <w:rFonts w:hint="eastAsia" w:ascii="宋体" w:hAnsi="宋体" w:cs="仿宋_GB2312" w:eastAsiaTheme="minorEastAsia"/>
          <w:sz w:val="44"/>
          <w:szCs w:val="44"/>
          <w:lang w:val="en-US" w:eastAsia="zh-CN"/>
        </w:rPr>
      </w:pPr>
      <w:r>
        <w:rPr>
          <w:rFonts w:hint="eastAsia" w:ascii="宋体" w:hAnsi="宋体" w:cs="仿宋_GB2312"/>
          <w:sz w:val="44"/>
          <w:szCs w:val="44"/>
        </w:rPr>
        <w:t>住房公积金账户和2020年政府专项债专户合作银行</w:t>
      </w:r>
      <w:r>
        <w:rPr>
          <w:rFonts w:hint="eastAsia" w:ascii="宋体" w:hAnsi="宋体" w:cs="仿宋_GB2312"/>
          <w:sz w:val="44"/>
          <w:szCs w:val="44"/>
          <w:lang w:val="en-US" w:eastAsia="zh-CN"/>
        </w:rPr>
        <w:t>项目</w:t>
      </w:r>
    </w:p>
    <w:p>
      <w:pPr>
        <w:jc w:val="center"/>
        <w:rPr>
          <w:rFonts w:ascii="宋体" w:hAnsi="宋体" w:cs="仿宋_GB2312"/>
          <w:sz w:val="44"/>
          <w:szCs w:val="44"/>
        </w:rPr>
      </w:pPr>
    </w:p>
    <w:p>
      <w:pPr>
        <w:jc w:val="center"/>
        <w:rPr>
          <w:rFonts w:ascii="宋体" w:hAnsi="宋体" w:cs="仿宋_GB2312"/>
          <w:sz w:val="24"/>
        </w:rPr>
      </w:pPr>
    </w:p>
    <w:p>
      <w:pPr>
        <w:jc w:val="center"/>
        <w:rPr>
          <w:rFonts w:ascii="宋体" w:hAnsi="宋体" w:cs="仿宋_GB2312"/>
          <w:sz w:val="24"/>
        </w:rPr>
      </w:pPr>
    </w:p>
    <w:p>
      <w:pPr>
        <w:jc w:val="center"/>
        <w:rPr>
          <w:rFonts w:ascii="宋体" w:hAnsi="宋体"/>
          <w:b/>
          <w:bCs/>
          <w:spacing w:val="36"/>
          <w:kern w:val="10"/>
          <w:sz w:val="72"/>
          <w:szCs w:val="72"/>
        </w:rPr>
      </w:pPr>
      <w:r>
        <w:rPr>
          <w:rFonts w:hint="eastAsia" w:ascii="宋体" w:hAnsi="宋体"/>
          <w:b/>
          <w:bCs/>
          <w:spacing w:val="36"/>
          <w:kern w:val="10"/>
          <w:sz w:val="72"/>
          <w:szCs w:val="72"/>
        </w:rPr>
        <w:t>比选文件</w:t>
      </w:r>
    </w:p>
    <w:p>
      <w:pPr>
        <w:jc w:val="center"/>
        <w:rPr>
          <w:rFonts w:ascii="宋体" w:hAnsi="宋体"/>
          <w:b/>
          <w:bCs/>
          <w:spacing w:val="36"/>
          <w:kern w:val="10"/>
          <w:sz w:val="22"/>
          <w:szCs w:val="22"/>
        </w:rPr>
      </w:pPr>
    </w:p>
    <w:p>
      <w:pPr>
        <w:jc w:val="center"/>
        <w:rPr>
          <w:rFonts w:ascii="宋体" w:hAnsi="宋体"/>
          <w:b/>
          <w:bCs/>
          <w:spacing w:val="36"/>
          <w:kern w:val="10"/>
          <w:sz w:val="32"/>
          <w:szCs w:val="32"/>
        </w:rPr>
      </w:pPr>
    </w:p>
    <w:p>
      <w:pPr>
        <w:jc w:val="center"/>
        <w:rPr>
          <w:rFonts w:ascii="宋体" w:hAnsi="宋体"/>
          <w:b/>
          <w:bCs/>
          <w:spacing w:val="36"/>
          <w:kern w:val="10"/>
          <w:sz w:val="32"/>
          <w:szCs w:val="32"/>
        </w:rPr>
      </w:pPr>
    </w:p>
    <w:p>
      <w:pPr>
        <w:jc w:val="center"/>
        <w:rPr>
          <w:rFonts w:ascii="宋体" w:hAnsi="宋体"/>
          <w:b/>
          <w:bCs/>
          <w:spacing w:val="36"/>
          <w:kern w:val="10"/>
          <w:sz w:val="32"/>
          <w:szCs w:val="32"/>
        </w:rPr>
      </w:pPr>
    </w:p>
    <w:p>
      <w:pPr>
        <w:jc w:val="center"/>
        <w:rPr>
          <w:rFonts w:ascii="宋体" w:hAnsi="宋体"/>
          <w:b/>
          <w:bCs/>
          <w:spacing w:val="36"/>
          <w:kern w:val="10"/>
          <w:sz w:val="32"/>
          <w:szCs w:val="32"/>
        </w:rPr>
      </w:pPr>
    </w:p>
    <w:p>
      <w:pPr>
        <w:spacing w:line="640" w:lineRule="exact"/>
        <w:jc w:val="center"/>
        <w:rPr>
          <w:rFonts w:ascii="宋体" w:hAnsi="宋体"/>
          <w:b/>
          <w:bCs/>
          <w:spacing w:val="36"/>
          <w:kern w:val="10"/>
          <w:sz w:val="32"/>
          <w:szCs w:val="32"/>
        </w:rPr>
      </w:pPr>
    </w:p>
    <w:p>
      <w:pPr>
        <w:pStyle w:val="7"/>
        <w:snapToGrid w:val="0"/>
        <w:spacing w:line="640" w:lineRule="exact"/>
        <w:ind w:firstLine="0" w:firstLineChars="0"/>
        <w:jc w:val="left"/>
        <w:rPr>
          <w:rFonts w:hint="eastAsia" w:hAnsi="宋体" w:eastAsiaTheme="minorEastAsia"/>
          <w:b/>
          <w:bCs/>
          <w:sz w:val="32"/>
          <w:szCs w:val="32"/>
          <w:lang w:val="en-US" w:eastAsia="zh-CN"/>
        </w:rPr>
      </w:pPr>
      <w:r>
        <w:rPr>
          <w:rFonts w:hint="eastAsia" w:hAnsi="宋体"/>
          <w:b/>
          <w:bCs/>
          <w:spacing w:val="70"/>
          <w:sz w:val="32"/>
          <w:szCs w:val="32"/>
        </w:rPr>
        <w:t>比选人：</w:t>
      </w:r>
      <w:r>
        <w:rPr>
          <w:rFonts w:hint="eastAsia" w:hAnsi="宋体"/>
          <w:b/>
          <w:bCs/>
          <w:sz w:val="32"/>
          <w:szCs w:val="32"/>
          <w:u w:val="single"/>
        </w:rPr>
        <w:t xml:space="preserve"> 深圳</w:t>
      </w:r>
      <w:r>
        <w:rPr>
          <w:rFonts w:hint="eastAsia" w:hAnsi="宋体"/>
          <w:b/>
          <w:bCs/>
          <w:sz w:val="32"/>
          <w:szCs w:val="32"/>
          <w:u w:val="single"/>
          <w:lang w:val="en-US" w:eastAsia="zh-CN"/>
        </w:rPr>
        <w:t>铁路投资建设集团</w:t>
      </w:r>
      <w:r>
        <w:rPr>
          <w:rFonts w:hint="eastAsia" w:hAnsi="宋体"/>
          <w:b/>
          <w:bCs/>
          <w:sz w:val="32"/>
          <w:szCs w:val="32"/>
          <w:u w:val="single"/>
        </w:rPr>
        <w:t>有限公司</w:t>
      </w:r>
      <w:r>
        <w:rPr>
          <w:rFonts w:hint="eastAsia" w:hAnsi="宋体"/>
          <w:b/>
          <w:bCs/>
          <w:sz w:val="32"/>
          <w:szCs w:val="32"/>
          <w:u w:val="single"/>
          <w:lang w:val="en-US" w:eastAsia="zh-CN"/>
        </w:rPr>
        <w:t xml:space="preserve">    </w:t>
      </w:r>
    </w:p>
    <w:p>
      <w:pPr>
        <w:pStyle w:val="7"/>
        <w:snapToGrid w:val="0"/>
        <w:spacing w:line="640" w:lineRule="exact"/>
        <w:ind w:firstLine="0" w:firstLineChars="0"/>
        <w:jc w:val="left"/>
        <w:rPr>
          <w:rFonts w:hint="default" w:hAnsi="宋体" w:eastAsiaTheme="minorEastAsia"/>
          <w:b/>
          <w:bCs/>
          <w:sz w:val="32"/>
          <w:szCs w:val="32"/>
          <w:u w:val="single"/>
          <w:lang w:val="en-US" w:eastAsia="zh-CN"/>
        </w:rPr>
      </w:pPr>
      <w:r>
        <w:rPr>
          <w:rFonts w:hint="eastAsia" w:hAnsi="宋体"/>
          <w:b/>
          <w:bCs/>
          <w:sz w:val="32"/>
          <w:szCs w:val="32"/>
        </w:rPr>
        <w:t>法定代表人：</w:t>
      </w:r>
      <w:r>
        <w:rPr>
          <w:rFonts w:hint="eastAsia" w:hAnsi="宋体"/>
          <w:b/>
          <w:bCs/>
          <w:sz w:val="32"/>
          <w:szCs w:val="32"/>
          <w:u w:val="single"/>
        </w:rPr>
        <w:t xml:space="preserve">           辛杰</w:t>
      </w:r>
      <w:r>
        <w:rPr>
          <w:rFonts w:hint="eastAsia" w:hAnsi="宋体"/>
          <w:b/>
          <w:bCs/>
          <w:sz w:val="32"/>
          <w:szCs w:val="32"/>
          <w:u w:val="single"/>
          <w:lang w:val="en-US" w:eastAsia="zh-CN"/>
        </w:rPr>
        <w:t xml:space="preserve">                    </w:t>
      </w:r>
    </w:p>
    <w:p>
      <w:pPr>
        <w:spacing w:line="640" w:lineRule="exact"/>
        <w:jc w:val="center"/>
        <w:rPr>
          <w:rFonts w:ascii="宋体" w:hAnsi="宋体"/>
          <w:b/>
          <w:bCs/>
          <w:spacing w:val="70"/>
          <w:sz w:val="32"/>
          <w:szCs w:val="32"/>
        </w:rPr>
      </w:pPr>
      <w:r>
        <w:rPr>
          <w:rFonts w:hint="eastAsia" w:ascii="宋体" w:hAnsi="宋体"/>
          <w:b/>
          <w:bCs/>
          <w:spacing w:val="70"/>
          <w:sz w:val="32"/>
          <w:szCs w:val="32"/>
        </w:rPr>
        <w:t>二○二○年</w:t>
      </w:r>
      <w:r>
        <w:rPr>
          <w:rFonts w:hint="eastAsia" w:ascii="宋体" w:hAnsi="宋体"/>
          <w:b/>
          <w:bCs/>
          <w:spacing w:val="70"/>
          <w:sz w:val="32"/>
          <w:szCs w:val="32"/>
          <w:lang w:val="en-US" w:eastAsia="zh-CN"/>
        </w:rPr>
        <w:t>六</w:t>
      </w:r>
      <w:r>
        <w:rPr>
          <w:rFonts w:hint="eastAsia" w:ascii="宋体" w:hAnsi="宋体"/>
          <w:b/>
          <w:bCs/>
          <w:spacing w:val="70"/>
          <w:sz w:val="32"/>
          <w:szCs w:val="32"/>
        </w:rPr>
        <w:t>月</w:t>
      </w:r>
    </w:p>
    <w:p>
      <w:pPr>
        <w:jc w:val="center"/>
        <w:rPr>
          <w:rFonts w:ascii="宋体" w:hAnsi="宋体"/>
          <w:b/>
          <w:bCs/>
          <w:spacing w:val="36"/>
          <w:kern w:val="10"/>
          <w:sz w:val="36"/>
          <w:szCs w:val="36"/>
        </w:rPr>
      </w:pPr>
    </w:p>
    <w:p>
      <w:pPr>
        <w:jc w:val="center"/>
        <w:rPr>
          <w:rFonts w:ascii="宋体" w:hAnsi="宋体"/>
          <w:b/>
          <w:bCs/>
          <w:spacing w:val="36"/>
          <w:kern w:val="10"/>
          <w:sz w:val="36"/>
          <w:szCs w:val="36"/>
        </w:rPr>
      </w:pPr>
    </w:p>
    <w:p>
      <w:pPr>
        <w:jc w:val="center"/>
        <w:rPr>
          <w:rFonts w:ascii="宋体" w:hAnsi="宋体"/>
          <w:b/>
          <w:bCs/>
          <w:spacing w:val="36"/>
          <w:kern w:val="10"/>
          <w:sz w:val="36"/>
          <w:szCs w:val="36"/>
        </w:rPr>
      </w:pPr>
    </w:p>
    <w:p>
      <w:pPr>
        <w:jc w:val="center"/>
        <w:rPr>
          <w:rFonts w:hint="eastAsia" w:ascii="宋体" w:hAnsi="宋体" w:eastAsiaTheme="minorEastAsia"/>
          <w:b/>
          <w:bCs/>
          <w:spacing w:val="36"/>
          <w:kern w:val="10"/>
          <w:sz w:val="36"/>
          <w:szCs w:val="36"/>
          <w:lang w:eastAsia="zh-CN"/>
        </w:rPr>
      </w:pPr>
    </w:p>
    <w:p>
      <w:pPr>
        <w:jc w:val="center"/>
        <w:rPr>
          <w:rFonts w:hint="eastAsia" w:ascii="宋体" w:hAnsi="宋体" w:eastAsiaTheme="minorEastAsia"/>
          <w:b/>
          <w:bCs/>
          <w:spacing w:val="36"/>
          <w:kern w:val="10"/>
          <w:sz w:val="36"/>
          <w:szCs w:val="36"/>
          <w:lang w:eastAsia="zh-CN"/>
        </w:rPr>
      </w:pPr>
    </w:p>
    <w:sdt>
      <w:sdtPr>
        <w:rPr>
          <w:rFonts w:ascii="宋体" w:hAnsi="宋体" w:eastAsia="宋体" w:cstheme="minorBidi"/>
          <w:kern w:val="2"/>
          <w:sz w:val="21"/>
          <w:szCs w:val="24"/>
          <w:lang w:val="en-US" w:eastAsia="zh-CN" w:bidi="ar-SA"/>
        </w:rPr>
        <w:id w:val="147463088"/>
        <w15:color w:val="DBDBDB"/>
        <w:docPartObj>
          <w:docPartGallery w:val="Table of Contents"/>
          <w:docPartUnique/>
        </w:docPartObj>
      </w:sdtPr>
      <w:sdtEndPr>
        <w:rPr>
          <w:rFonts w:ascii="宋体" w:hAnsi="宋体" w:eastAsiaTheme="minorEastAsia"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44"/>
              <w:szCs w:val="44"/>
            </w:rPr>
            <w:t>目录</w:t>
          </w:r>
        </w:p>
        <w:p>
          <w:pPr>
            <w:pStyle w:val="8"/>
            <w:tabs>
              <w:tab w:val="right" w:leader="hyphen" w:pos="8306"/>
            </w:tabs>
          </w:pPr>
          <w:r>
            <w:rPr>
              <w:rFonts w:ascii="宋体" w:hAnsi="宋体"/>
              <w:b/>
              <w:sz w:val="36"/>
            </w:rPr>
            <w:fldChar w:fldCharType="begin"/>
          </w:r>
          <w:r>
            <w:rPr>
              <w:rFonts w:ascii="宋体" w:hAnsi="宋体"/>
              <w:b/>
              <w:sz w:val="36"/>
            </w:rPr>
            <w:instrText xml:space="preserve">TOC \o "1-2" \h \u </w:instrText>
          </w:r>
          <w:r>
            <w:rPr>
              <w:rFonts w:ascii="宋体" w:hAnsi="宋体"/>
              <w:b/>
              <w:sz w:val="36"/>
            </w:rPr>
            <w:fldChar w:fldCharType="separate"/>
          </w:r>
          <w:r>
            <w:rPr>
              <w:rFonts w:ascii="宋体" w:hAnsi="宋体"/>
            </w:rPr>
            <w:fldChar w:fldCharType="begin"/>
          </w:r>
          <w:r>
            <w:rPr>
              <w:rFonts w:ascii="宋体" w:hAnsi="宋体"/>
            </w:rPr>
            <w:instrText xml:space="preserve"> HYPERLINK \l _Toc12414 </w:instrText>
          </w:r>
          <w:r>
            <w:rPr>
              <w:rFonts w:ascii="宋体" w:hAnsi="宋体"/>
            </w:rPr>
            <w:fldChar w:fldCharType="separate"/>
          </w:r>
          <w:r>
            <w:rPr>
              <w:rFonts w:hint="eastAsia" w:asciiTheme="majorEastAsia" w:hAnsiTheme="majorEastAsia" w:eastAsiaTheme="majorEastAsia" w:cstheme="majorEastAsia"/>
              <w:bCs/>
              <w:spacing w:val="36"/>
              <w:kern w:val="10"/>
              <w:szCs w:val="44"/>
            </w:rPr>
            <w:t xml:space="preserve">第一章 </w:t>
          </w:r>
          <w:r>
            <w:rPr>
              <w:rFonts w:hint="eastAsia" w:asciiTheme="majorEastAsia" w:hAnsiTheme="majorEastAsia" w:eastAsiaTheme="majorEastAsia" w:cstheme="majorEastAsia"/>
              <w:bCs/>
              <w:spacing w:val="36"/>
              <w:kern w:val="10"/>
              <w:szCs w:val="44"/>
              <w:lang w:val="en-US" w:eastAsia="zh-CN"/>
            </w:rPr>
            <w:t>比选公告</w:t>
          </w:r>
          <w:r>
            <w:tab/>
          </w:r>
          <w:r>
            <w:fldChar w:fldCharType="begin"/>
          </w:r>
          <w:r>
            <w:instrText xml:space="preserve"> PAGEREF _Toc12414 </w:instrText>
          </w:r>
          <w:r>
            <w:fldChar w:fldCharType="separate"/>
          </w:r>
          <w:r>
            <w:t>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_Toc3338 </w:instrText>
          </w:r>
          <w:r>
            <w:rPr>
              <w:rFonts w:ascii="宋体" w:hAnsi="宋体"/>
            </w:rPr>
            <w:fldChar w:fldCharType="separate"/>
          </w:r>
          <w:r>
            <w:rPr>
              <w:rFonts w:hint="eastAsia" w:asciiTheme="majorEastAsia" w:hAnsiTheme="majorEastAsia" w:eastAsiaTheme="majorEastAsia" w:cstheme="majorEastAsia"/>
              <w:bCs/>
              <w:szCs w:val="22"/>
            </w:rPr>
            <w:t>一、项目名称</w:t>
          </w:r>
          <w:r>
            <w:tab/>
          </w:r>
          <w:r>
            <w:fldChar w:fldCharType="begin"/>
          </w:r>
          <w:r>
            <w:instrText xml:space="preserve"> PAGEREF _Toc3338 </w:instrText>
          </w:r>
          <w:r>
            <w:fldChar w:fldCharType="separate"/>
          </w:r>
          <w:r>
            <w:t>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_Toc32641 </w:instrText>
          </w:r>
          <w:r>
            <w:rPr>
              <w:rFonts w:ascii="宋体" w:hAnsi="宋体"/>
            </w:rPr>
            <w:fldChar w:fldCharType="separate"/>
          </w:r>
          <w:r>
            <w:rPr>
              <w:rFonts w:hint="eastAsia" w:asciiTheme="majorEastAsia" w:hAnsiTheme="majorEastAsia" w:eastAsiaTheme="majorEastAsia" w:cstheme="majorEastAsia"/>
              <w:bCs/>
              <w:szCs w:val="22"/>
            </w:rPr>
            <w:t>二、服务内容和要求</w:t>
          </w:r>
          <w:r>
            <w:tab/>
          </w:r>
          <w:r>
            <w:fldChar w:fldCharType="begin"/>
          </w:r>
          <w:r>
            <w:instrText xml:space="preserve"> PAGEREF _Toc32641 </w:instrText>
          </w:r>
          <w:r>
            <w:fldChar w:fldCharType="separate"/>
          </w:r>
          <w:r>
            <w:t>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_Toc28024 </w:instrText>
          </w:r>
          <w:r>
            <w:rPr>
              <w:rFonts w:ascii="宋体" w:hAnsi="宋体"/>
            </w:rPr>
            <w:fldChar w:fldCharType="separate"/>
          </w:r>
          <w:r>
            <w:rPr>
              <w:rFonts w:hint="eastAsia" w:asciiTheme="majorEastAsia" w:hAnsiTheme="majorEastAsia" w:eastAsiaTheme="majorEastAsia" w:cstheme="majorEastAsia"/>
              <w:bCs/>
              <w:szCs w:val="22"/>
            </w:rPr>
            <w:t>三、评审方法</w:t>
          </w:r>
          <w:r>
            <w:tab/>
          </w:r>
          <w:r>
            <w:fldChar w:fldCharType="begin"/>
          </w:r>
          <w:r>
            <w:instrText xml:space="preserve"> PAGEREF _Toc28024 </w:instrText>
          </w:r>
          <w:r>
            <w:fldChar w:fldCharType="separate"/>
          </w:r>
          <w:r>
            <w:t>4</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_Toc31340 </w:instrText>
          </w:r>
          <w:r>
            <w:rPr>
              <w:rFonts w:ascii="宋体" w:hAnsi="宋体"/>
            </w:rPr>
            <w:fldChar w:fldCharType="separate"/>
          </w:r>
          <w:r>
            <w:rPr>
              <w:rFonts w:hint="eastAsia" w:asciiTheme="majorEastAsia" w:hAnsiTheme="majorEastAsia" w:eastAsiaTheme="majorEastAsia" w:cstheme="majorEastAsia"/>
              <w:bCs/>
              <w:szCs w:val="22"/>
            </w:rPr>
            <w:t>四、资格要求</w:t>
          </w:r>
          <w:r>
            <w:tab/>
          </w:r>
          <w:r>
            <w:fldChar w:fldCharType="begin"/>
          </w:r>
          <w:r>
            <w:instrText xml:space="preserve"> PAGEREF _Toc31340 </w:instrText>
          </w:r>
          <w:r>
            <w:fldChar w:fldCharType="separate"/>
          </w:r>
          <w:r>
            <w:t>4</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_Toc6708 </w:instrText>
          </w:r>
          <w:r>
            <w:rPr>
              <w:rFonts w:ascii="宋体" w:hAnsi="宋体"/>
            </w:rPr>
            <w:fldChar w:fldCharType="separate"/>
          </w:r>
          <w:r>
            <w:rPr>
              <w:rFonts w:hint="eastAsia" w:asciiTheme="majorEastAsia" w:hAnsiTheme="majorEastAsia" w:eastAsiaTheme="majorEastAsia" w:cstheme="majorEastAsia"/>
              <w:bCs/>
              <w:szCs w:val="22"/>
            </w:rPr>
            <w:t>五、参选银行提交参选文件需提供的资料（正本一份，副本四份）</w:t>
          </w:r>
          <w:r>
            <w:tab/>
          </w:r>
          <w:r>
            <w:fldChar w:fldCharType="begin"/>
          </w:r>
          <w:r>
            <w:instrText xml:space="preserve"> PAGEREF _Toc6708 </w:instrText>
          </w:r>
          <w:r>
            <w:fldChar w:fldCharType="separate"/>
          </w:r>
          <w:r>
            <w:t>4</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_Toc17758 </w:instrText>
          </w:r>
          <w:r>
            <w:rPr>
              <w:rFonts w:ascii="宋体" w:hAnsi="宋体"/>
            </w:rPr>
            <w:fldChar w:fldCharType="separate"/>
          </w:r>
          <w:r>
            <w:rPr>
              <w:rFonts w:hint="eastAsia" w:asciiTheme="majorEastAsia" w:hAnsiTheme="majorEastAsia" w:eastAsiaTheme="majorEastAsia" w:cstheme="majorEastAsia"/>
              <w:bCs/>
              <w:szCs w:val="22"/>
            </w:rPr>
            <w:t>六、比选公告的发布</w:t>
          </w:r>
          <w:r>
            <w:tab/>
          </w:r>
          <w:r>
            <w:fldChar w:fldCharType="begin"/>
          </w:r>
          <w:r>
            <w:instrText xml:space="preserve"> PAGEREF _Toc17758 </w:instrText>
          </w:r>
          <w:r>
            <w:fldChar w:fldCharType="separate"/>
          </w:r>
          <w:r>
            <w:t>5</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_Toc18701 </w:instrText>
          </w:r>
          <w:r>
            <w:rPr>
              <w:rFonts w:ascii="宋体" w:hAnsi="宋体"/>
            </w:rPr>
            <w:fldChar w:fldCharType="separate"/>
          </w:r>
          <w:r>
            <w:rPr>
              <w:rFonts w:hint="eastAsia" w:asciiTheme="majorEastAsia" w:hAnsiTheme="majorEastAsia" w:eastAsiaTheme="majorEastAsia" w:cstheme="majorEastAsia"/>
              <w:bCs/>
              <w:szCs w:val="22"/>
            </w:rPr>
            <w:t>七、参选文件的递交及评审</w:t>
          </w:r>
          <w:r>
            <w:tab/>
          </w:r>
          <w:r>
            <w:fldChar w:fldCharType="begin"/>
          </w:r>
          <w:r>
            <w:instrText xml:space="preserve"> PAGEREF _Toc18701 </w:instrText>
          </w:r>
          <w:r>
            <w:fldChar w:fldCharType="separate"/>
          </w:r>
          <w:r>
            <w:t>5</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_Toc108 </w:instrText>
          </w:r>
          <w:r>
            <w:rPr>
              <w:rFonts w:ascii="宋体" w:hAnsi="宋体"/>
            </w:rPr>
            <w:fldChar w:fldCharType="separate"/>
          </w:r>
          <w:r>
            <w:rPr>
              <w:rFonts w:hint="eastAsia" w:asciiTheme="majorEastAsia" w:hAnsiTheme="majorEastAsia" w:eastAsiaTheme="majorEastAsia" w:cstheme="majorEastAsia"/>
              <w:bCs/>
              <w:szCs w:val="22"/>
            </w:rPr>
            <w:t>八、其他注意事项</w:t>
          </w:r>
          <w:r>
            <w:tab/>
          </w:r>
          <w:r>
            <w:fldChar w:fldCharType="begin"/>
          </w:r>
          <w:r>
            <w:instrText xml:space="preserve"> PAGEREF _Toc108 </w:instrText>
          </w:r>
          <w:r>
            <w:fldChar w:fldCharType="separate"/>
          </w:r>
          <w:r>
            <w:t>5</w:t>
          </w:r>
          <w:r>
            <w:fldChar w:fldCharType="end"/>
          </w:r>
          <w:r>
            <w:rPr>
              <w:rFonts w:ascii="宋体" w:hAnsi="宋体"/>
            </w:rPr>
            <w:fldChar w:fldCharType="end"/>
          </w:r>
        </w:p>
        <w:p>
          <w:pPr>
            <w:pStyle w:val="8"/>
            <w:tabs>
              <w:tab w:val="right" w:leader="hyphen" w:pos="8306"/>
            </w:tabs>
          </w:pPr>
          <w:r>
            <w:rPr>
              <w:rFonts w:ascii="宋体" w:hAnsi="宋体"/>
            </w:rPr>
            <w:fldChar w:fldCharType="begin"/>
          </w:r>
          <w:r>
            <w:rPr>
              <w:rFonts w:ascii="宋体" w:hAnsi="宋体"/>
            </w:rPr>
            <w:instrText xml:space="preserve"> HYPERLINK \l _Toc23865 </w:instrText>
          </w:r>
          <w:r>
            <w:rPr>
              <w:rFonts w:ascii="宋体" w:hAnsi="宋体"/>
            </w:rPr>
            <w:fldChar w:fldCharType="separate"/>
          </w:r>
          <w:r>
            <w:rPr>
              <w:rFonts w:hint="eastAsia" w:asciiTheme="majorEastAsia" w:hAnsiTheme="majorEastAsia" w:eastAsiaTheme="majorEastAsia" w:cstheme="majorEastAsia"/>
              <w:bCs/>
              <w:spacing w:val="36"/>
              <w:kern w:val="10"/>
              <w:szCs w:val="44"/>
              <w:lang w:val="en-US" w:eastAsia="zh-CN"/>
            </w:rPr>
            <w:t>第二章 参选须知</w:t>
          </w:r>
          <w:r>
            <w:tab/>
          </w:r>
          <w:r>
            <w:fldChar w:fldCharType="begin"/>
          </w:r>
          <w:r>
            <w:instrText xml:space="preserve"> PAGEREF _Toc23865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_Toc8071 </w:instrText>
          </w:r>
          <w:r>
            <w:rPr>
              <w:rFonts w:ascii="宋体" w:hAnsi="宋体"/>
            </w:rPr>
            <w:fldChar w:fldCharType="separate"/>
          </w:r>
          <w:r>
            <w:rPr>
              <w:rFonts w:hint="eastAsia" w:asciiTheme="majorEastAsia" w:hAnsiTheme="majorEastAsia" w:eastAsiaTheme="majorEastAsia" w:cstheme="majorEastAsia"/>
              <w:bCs/>
            </w:rPr>
            <w:t>一、参选文件不予受理的情形（由评选委员会负责判定）</w:t>
          </w:r>
          <w:r>
            <w:tab/>
          </w:r>
          <w:r>
            <w:fldChar w:fldCharType="begin"/>
          </w:r>
          <w:r>
            <w:instrText xml:space="preserve"> PAGEREF _Toc8071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_Toc27187 </w:instrText>
          </w:r>
          <w:r>
            <w:rPr>
              <w:rFonts w:ascii="宋体" w:hAnsi="宋体"/>
            </w:rPr>
            <w:fldChar w:fldCharType="separate"/>
          </w:r>
          <w:r>
            <w:rPr>
              <w:rFonts w:hint="eastAsia" w:asciiTheme="majorEastAsia" w:hAnsiTheme="majorEastAsia" w:eastAsiaTheme="majorEastAsia" w:cstheme="majorEastAsia"/>
              <w:bCs/>
              <w:kern w:val="0"/>
            </w:rPr>
            <w:t>二、参选文件有下列情形之一的，评审不合格，应作无效标处理（由评选委员会负责判定）</w:t>
          </w:r>
          <w:r>
            <w:tab/>
          </w:r>
          <w:r>
            <w:fldChar w:fldCharType="begin"/>
          </w:r>
          <w:r>
            <w:instrText xml:space="preserve"> PAGEREF _Toc27187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_Toc16987 </w:instrText>
          </w:r>
          <w:r>
            <w:rPr>
              <w:rFonts w:ascii="宋体" w:hAnsi="宋体"/>
            </w:rPr>
            <w:fldChar w:fldCharType="separate"/>
          </w:r>
          <w:r>
            <w:rPr>
              <w:rFonts w:hint="eastAsia" w:asciiTheme="majorEastAsia" w:hAnsiTheme="majorEastAsia" w:eastAsiaTheme="majorEastAsia" w:cstheme="majorEastAsia"/>
              <w:bCs/>
            </w:rPr>
            <w:t>三、参选文件存在下列情形的，应作废标处理</w:t>
          </w:r>
          <w:r>
            <w:tab/>
          </w:r>
          <w:r>
            <w:fldChar w:fldCharType="begin"/>
          </w:r>
          <w:r>
            <w:instrText xml:space="preserve"> PAGEREF _Toc16987 </w:instrText>
          </w:r>
          <w:r>
            <w:fldChar w:fldCharType="separate"/>
          </w:r>
          <w:r>
            <w:t>6</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_Toc2701 </w:instrText>
          </w:r>
          <w:r>
            <w:rPr>
              <w:rFonts w:ascii="宋体" w:hAnsi="宋体"/>
            </w:rPr>
            <w:fldChar w:fldCharType="separate"/>
          </w:r>
          <w:r>
            <w:rPr>
              <w:rFonts w:hint="eastAsia" w:asciiTheme="majorEastAsia" w:hAnsiTheme="majorEastAsia" w:eastAsiaTheme="majorEastAsia" w:cstheme="majorEastAsia"/>
              <w:bCs/>
              <w:kern w:val="0"/>
            </w:rPr>
            <w:t>四、无效参选文件和作废参选文件的处理</w:t>
          </w:r>
          <w:r>
            <w:tab/>
          </w:r>
          <w:r>
            <w:fldChar w:fldCharType="begin"/>
          </w:r>
          <w:r>
            <w:instrText xml:space="preserve"> PAGEREF _Toc2701 </w:instrText>
          </w:r>
          <w:r>
            <w:fldChar w:fldCharType="separate"/>
          </w:r>
          <w:r>
            <w:t>7</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_Toc5223 </w:instrText>
          </w:r>
          <w:r>
            <w:rPr>
              <w:rFonts w:ascii="宋体" w:hAnsi="宋体"/>
            </w:rPr>
            <w:fldChar w:fldCharType="separate"/>
          </w:r>
          <w:r>
            <w:rPr>
              <w:rFonts w:hint="eastAsia" w:asciiTheme="majorEastAsia" w:hAnsiTheme="majorEastAsia" w:eastAsiaTheme="majorEastAsia" w:cstheme="majorEastAsia"/>
              <w:bCs/>
              <w:kern w:val="0"/>
              <w:lang w:val="en-US" w:eastAsia="zh-CN"/>
            </w:rPr>
            <w:t>五</w:t>
          </w:r>
          <w:r>
            <w:rPr>
              <w:rFonts w:hint="eastAsia" w:asciiTheme="majorEastAsia" w:hAnsiTheme="majorEastAsia" w:eastAsiaTheme="majorEastAsia" w:cstheme="majorEastAsia"/>
              <w:bCs/>
              <w:kern w:val="0"/>
            </w:rPr>
            <w:t>、比选文件的补遗、澄清、修改</w:t>
          </w:r>
          <w:r>
            <w:tab/>
          </w:r>
          <w:r>
            <w:fldChar w:fldCharType="begin"/>
          </w:r>
          <w:r>
            <w:instrText xml:space="preserve"> PAGEREF _Toc5223 </w:instrText>
          </w:r>
          <w:r>
            <w:fldChar w:fldCharType="separate"/>
          </w:r>
          <w:r>
            <w:t>7</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_Toc4662 </w:instrText>
          </w:r>
          <w:r>
            <w:rPr>
              <w:rFonts w:ascii="宋体" w:hAnsi="宋体"/>
            </w:rPr>
            <w:fldChar w:fldCharType="separate"/>
          </w:r>
          <w:r>
            <w:rPr>
              <w:rFonts w:hint="eastAsia" w:asciiTheme="majorEastAsia" w:hAnsiTheme="majorEastAsia" w:eastAsiaTheme="majorEastAsia" w:cstheme="majorEastAsia"/>
              <w:bCs/>
              <w:kern w:val="0"/>
              <w:lang w:val="en-US" w:eastAsia="zh-CN"/>
            </w:rPr>
            <w:t>六</w:t>
          </w:r>
          <w:r>
            <w:rPr>
              <w:rFonts w:hint="eastAsia" w:asciiTheme="majorEastAsia" w:hAnsiTheme="majorEastAsia" w:eastAsiaTheme="majorEastAsia" w:cstheme="majorEastAsia"/>
              <w:bCs/>
              <w:kern w:val="0"/>
            </w:rPr>
            <w:t>、参选文件的编写及封装要求</w:t>
          </w:r>
          <w:r>
            <w:tab/>
          </w:r>
          <w:r>
            <w:fldChar w:fldCharType="begin"/>
          </w:r>
          <w:r>
            <w:instrText xml:space="preserve"> PAGEREF _Toc4662 </w:instrText>
          </w:r>
          <w:r>
            <w:fldChar w:fldCharType="separate"/>
          </w:r>
          <w:r>
            <w:t>8</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_Toc16035 </w:instrText>
          </w:r>
          <w:r>
            <w:rPr>
              <w:rFonts w:ascii="宋体" w:hAnsi="宋体"/>
            </w:rPr>
            <w:fldChar w:fldCharType="separate"/>
          </w:r>
          <w:r>
            <w:rPr>
              <w:rFonts w:hint="eastAsia" w:asciiTheme="majorEastAsia" w:hAnsiTheme="majorEastAsia" w:eastAsiaTheme="majorEastAsia" w:cstheme="majorEastAsia"/>
              <w:bCs/>
              <w:lang w:val="en-US" w:eastAsia="zh-CN"/>
            </w:rPr>
            <w:t>七</w:t>
          </w:r>
          <w:r>
            <w:rPr>
              <w:rFonts w:hint="eastAsia" w:asciiTheme="majorEastAsia" w:hAnsiTheme="majorEastAsia" w:eastAsiaTheme="majorEastAsia" w:cstheme="majorEastAsia"/>
              <w:bCs/>
            </w:rPr>
            <w:t>、 参选文件的递交</w:t>
          </w:r>
          <w:r>
            <w:tab/>
          </w:r>
          <w:r>
            <w:fldChar w:fldCharType="begin"/>
          </w:r>
          <w:r>
            <w:instrText xml:space="preserve"> PAGEREF _Toc16035 </w:instrText>
          </w:r>
          <w:r>
            <w:fldChar w:fldCharType="separate"/>
          </w:r>
          <w:r>
            <w:t>8</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_Toc8193 </w:instrText>
          </w:r>
          <w:r>
            <w:rPr>
              <w:rFonts w:ascii="宋体" w:hAnsi="宋体"/>
            </w:rPr>
            <w:fldChar w:fldCharType="separate"/>
          </w:r>
          <w:r>
            <w:rPr>
              <w:rFonts w:hint="eastAsia" w:asciiTheme="majorEastAsia" w:hAnsiTheme="majorEastAsia" w:eastAsiaTheme="majorEastAsia" w:cstheme="majorEastAsia"/>
              <w:bCs/>
              <w:lang w:val="en-US" w:eastAsia="zh-CN"/>
            </w:rPr>
            <w:t>八</w:t>
          </w:r>
          <w:r>
            <w:rPr>
              <w:rFonts w:hint="eastAsia" w:asciiTheme="majorEastAsia" w:hAnsiTheme="majorEastAsia" w:eastAsiaTheme="majorEastAsia" w:cstheme="majorEastAsia"/>
              <w:bCs/>
            </w:rPr>
            <w:t>、有效期</w:t>
          </w:r>
          <w:r>
            <w:tab/>
          </w:r>
          <w:r>
            <w:fldChar w:fldCharType="begin"/>
          </w:r>
          <w:r>
            <w:instrText xml:space="preserve"> PAGEREF _Toc8193 </w:instrText>
          </w:r>
          <w:r>
            <w:fldChar w:fldCharType="separate"/>
          </w:r>
          <w:r>
            <w:t>9</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_Toc32611 </w:instrText>
          </w:r>
          <w:r>
            <w:rPr>
              <w:rFonts w:ascii="宋体" w:hAnsi="宋体"/>
            </w:rPr>
            <w:fldChar w:fldCharType="separate"/>
          </w:r>
          <w:r>
            <w:rPr>
              <w:rFonts w:hint="eastAsia" w:asciiTheme="majorEastAsia" w:hAnsiTheme="majorEastAsia" w:eastAsiaTheme="majorEastAsia" w:cstheme="majorEastAsia"/>
              <w:bCs/>
              <w:lang w:val="en-US" w:eastAsia="zh-CN"/>
            </w:rPr>
            <w:t>九</w:t>
          </w:r>
          <w:r>
            <w:rPr>
              <w:rFonts w:hint="eastAsia" w:asciiTheme="majorEastAsia" w:hAnsiTheme="majorEastAsia" w:eastAsiaTheme="majorEastAsia" w:cstheme="majorEastAsia"/>
              <w:bCs/>
            </w:rPr>
            <w:t>、评审工作</w:t>
          </w:r>
          <w:r>
            <w:tab/>
          </w:r>
          <w:r>
            <w:fldChar w:fldCharType="begin"/>
          </w:r>
          <w:r>
            <w:instrText xml:space="preserve"> PAGEREF _Toc32611 </w:instrText>
          </w:r>
          <w:r>
            <w:fldChar w:fldCharType="separate"/>
          </w:r>
          <w:r>
            <w:t>9</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_Toc28796 </w:instrText>
          </w:r>
          <w:r>
            <w:rPr>
              <w:rFonts w:ascii="宋体" w:hAnsi="宋体"/>
            </w:rPr>
            <w:fldChar w:fldCharType="separate"/>
          </w:r>
          <w:r>
            <w:rPr>
              <w:rFonts w:hint="eastAsia" w:asciiTheme="majorEastAsia" w:hAnsiTheme="majorEastAsia" w:eastAsiaTheme="majorEastAsia" w:cstheme="majorEastAsia"/>
              <w:bCs/>
              <w:kern w:val="0"/>
            </w:rPr>
            <w:t>十</w:t>
          </w:r>
          <w:r>
            <w:rPr>
              <w:rFonts w:hint="eastAsia" w:asciiTheme="majorEastAsia" w:hAnsiTheme="majorEastAsia" w:eastAsiaTheme="majorEastAsia" w:cstheme="majorEastAsia"/>
              <w:bCs/>
              <w:kern w:val="0"/>
              <w:lang w:val="en-US" w:eastAsia="zh-CN"/>
            </w:rPr>
            <w:t>一</w:t>
          </w:r>
          <w:r>
            <w:rPr>
              <w:rFonts w:hint="eastAsia" w:asciiTheme="majorEastAsia" w:hAnsiTheme="majorEastAsia" w:eastAsiaTheme="majorEastAsia" w:cstheme="majorEastAsia"/>
              <w:bCs/>
              <w:kern w:val="0"/>
            </w:rPr>
            <w:t>、确定中选人</w:t>
          </w:r>
          <w:r>
            <w:tab/>
          </w:r>
          <w:r>
            <w:fldChar w:fldCharType="begin"/>
          </w:r>
          <w:r>
            <w:instrText xml:space="preserve"> PAGEREF _Toc28796 </w:instrText>
          </w:r>
          <w:r>
            <w:fldChar w:fldCharType="separate"/>
          </w:r>
          <w:r>
            <w:t>13</w:t>
          </w:r>
          <w:r>
            <w:fldChar w:fldCharType="end"/>
          </w:r>
          <w:r>
            <w:rPr>
              <w:rFonts w:ascii="宋体" w:hAnsi="宋体"/>
            </w:rPr>
            <w:fldChar w:fldCharType="end"/>
          </w:r>
        </w:p>
        <w:p>
          <w:pPr>
            <w:pStyle w:val="9"/>
            <w:tabs>
              <w:tab w:val="right" w:leader="hyphen" w:pos="8306"/>
            </w:tabs>
          </w:pPr>
          <w:r>
            <w:rPr>
              <w:rFonts w:ascii="宋体" w:hAnsi="宋体"/>
            </w:rPr>
            <w:fldChar w:fldCharType="begin"/>
          </w:r>
          <w:r>
            <w:rPr>
              <w:rFonts w:ascii="宋体" w:hAnsi="宋体"/>
            </w:rPr>
            <w:instrText xml:space="preserve"> HYPERLINK \l _Toc25186 </w:instrText>
          </w:r>
          <w:r>
            <w:rPr>
              <w:rFonts w:ascii="宋体" w:hAnsi="宋体"/>
            </w:rPr>
            <w:fldChar w:fldCharType="separate"/>
          </w:r>
          <w:r>
            <w:rPr>
              <w:rFonts w:hint="eastAsia" w:asciiTheme="majorEastAsia" w:hAnsiTheme="majorEastAsia" w:eastAsiaTheme="majorEastAsia" w:cstheme="majorEastAsia"/>
              <w:bCs/>
              <w:snapToGrid/>
            </w:rPr>
            <w:t>十</w:t>
          </w:r>
          <w:r>
            <w:rPr>
              <w:rFonts w:hint="eastAsia" w:asciiTheme="majorEastAsia" w:hAnsiTheme="majorEastAsia" w:eastAsiaTheme="majorEastAsia" w:cstheme="majorEastAsia"/>
              <w:bCs/>
              <w:snapToGrid/>
              <w:lang w:val="en-US" w:eastAsia="zh-CN"/>
            </w:rPr>
            <w:t>二</w:t>
          </w:r>
          <w:r>
            <w:rPr>
              <w:rFonts w:hint="eastAsia" w:asciiTheme="majorEastAsia" w:hAnsiTheme="majorEastAsia" w:eastAsiaTheme="majorEastAsia" w:cstheme="majorEastAsia"/>
              <w:bCs/>
              <w:snapToGrid/>
            </w:rPr>
            <w:t>、办理相关业务</w:t>
          </w:r>
          <w:r>
            <w:tab/>
          </w:r>
          <w:r>
            <w:fldChar w:fldCharType="begin"/>
          </w:r>
          <w:r>
            <w:instrText xml:space="preserve"> PAGEREF _Toc25186 </w:instrText>
          </w:r>
          <w:r>
            <w:fldChar w:fldCharType="separate"/>
          </w:r>
          <w:r>
            <w:t>13</w:t>
          </w:r>
          <w:r>
            <w:fldChar w:fldCharType="end"/>
          </w:r>
          <w:r>
            <w:rPr>
              <w:rFonts w:ascii="宋体" w:hAnsi="宋体"/>
            </w:rPr>
            <w:fldChar w:fldCharType="end"/>
          </w:r>
        </w:p>
        <w:p>
          <w:pPr>
            <w:pStyle w:val="8"/>
            <w:tabs>
              <w:tab w:val="right" w:leader="hyphen" w:pos="8306"/>
            </w:tabs>
          </w:pPr>
          <w:r>
            <w:rPr>
              <w:rFonts w:ascii="宋体" w:hAnsi="宋体"/>
            </w:rPr>
            <w:fldChar w:fldCharType="begin"/>
          </w:r>
          <w:r>
            <w:rPr>
              <w:rFonts w:ascii="宋体" w:hAnsi="宋体"/>
            </w:rPr>
            <w:instrText xml:space="preserve"> HYPERLINK \l _Toc8729 </w:instrText>
          </w:r>
          <w:r>
            <w:rPr>
              <w:rFonts w:ascii="宋体" w:hAnsi="宋体"/>
            </w:rPr>
            <w:fldChar w:fldCharType="separate"/>
          </w:r>
          <w:r>
            <w:rPr>
              <w:rFonts w:hint="eastAsia" w:asciiTheme="majorEastAsia" w:hAnsiTheme="majorEastAsia" w:eastAsiaTheme="majorEastAsia" w:cstheme="majorEastAsia"/>
              <w:bCs/>
              <w:spacing w:val="36"/>
              <w:kern w:val="10"/>
              <w:szCs w:val="44"/>
              <w:lang w:val="en-US" w:eastAsia="zh-CN"/>
            </w:rPr>
            <w:t>第三章 参选文件格式</w:t>
          </w:r>
          <w:r>
            <w:tab/>
          </w:r>
          <w:r>
            <w:fldChar w:fldCharType="begin"/>
          </w:r>
          <w:r>
            <w:instrText xml:space="preserve"> PAGEREF _Toc8729 </w:instrText>
          </w:r>
          <w:r>
            <w:fldChar w:fldCharType="separate"/>
          </w:r>
          <w:r>
            <w:t>22</w:t>
          </w:r>
          <w:r>
            <w:fldChar w:fldCharType="end"/>
          </w:r>
          <w:r>
            <w:rPr>
              <w:rFonts w:ascii="宋体" w:hAnsi="宋体"/>
            </w:rPr>
            <w:fldChar w:fldCharType="end"/>
          </w:r>
        </w:p>
        <w:p>
          <w:pPr>
            <w:jc w:val="center"/>
            <w:outlineLvl w:val="9"/>
            <w:rPr>
              <w:rFonts w:ascii="宋体" w:hAnsi="宋体"/>
              <w:b/>
              <w:sz w:val="36"/>
            </w:rPr>
          </w:pPr>
          <w:r>
            <w:rPr>
              <w:rFonts w:ascii="宋体" w:hAnsi="宋体"/>
            </w:rPr>
            <w:fldChar w:fldCharType="end"/>
          </w:r>
        </w:p>
      </w:sdtContent>
    </w:sdt>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numPr>
          <w:ilvl w:val="0"/>
          <w:numId w:val="1"/>
        </w:numPr>
        <w:jc w:val="center"/>
        <w:outlineLvl w:val="0"/>
        <w:rPr>
          <w:rFonts w:hint="eastAsia" w:asciiTheme="majorEastAsia" w:hAnsiTheme="majorEastAsia" w:eastAsiaTheme="majorEastAsia" w:cstheme="majorEastAsia"/>
          <w:b/>
          <w:bCs/>
          <w:spacing w:val="36"/>
          <w:kern w:val="10"/>
          <w:sz w:val="44"/>
          <w:szCs w:val="44"/>
        </w:rPr>
      </w:pPr>
      <w:bookmarkStart w:id="0" w:name="_Toc11834"/>
      <w:bookmarkStart w:id="1" w:name="_Toc12414"/>
      <w:bookmarkStart w:id="2" w:name="_Toc13912"/>
      <w:r>
        <w:rPr>
          <w:rFonts w:hint="eastAsia" w:asciiTheme="majorEastAsia" w:hAnsiTheme="majorEastAsia" w:eastAsiaTheme="majorEastAsia" w:cstheme="majorEastAsia"/>
          <w:b/>
          <w:bCs/>
          <w:spacing w:val="36"/>
          <w:kern w:val="10"/>
          <w:sz w:val="44"/>
          <w:szCs w:val="44"/>
          <w:lang w:val="en-US" w:eastAsia="zh-CN"/>
        </w:rPr>
        <w:t>比选公告</w:t>
      </w:r>
      <w:bookmarkEnd w:id="0"/>
      <w:bookmarkEnd w:id="1"/>
      <w:bookmarkEnd w:id="2"/>
    </w:p>
    <w:p>
      <w:pPr>
        <w:spacing w:line="360" w:lineRule="auto"/>
        <w:ind w:firstLine="440" w:firstLineChars="200"/>
        <w:jc w:val="left"/>
        <w:rPr>
          <w:rFonts w:hint="eastAsia" w:asciiTheme="minorEastAsia" w:hAnsiTheme="minorEastAsia" w:cstheme="minorEastAsia"/>
          <w:sz w:val="22"/>
          <w:szCs w:val="22"/>
        </w:rPr>
      </w:pP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深圳铁路投资建设集团有限公司（以下简称“比选人”）采用竞争性比选与综合评分法相结合的方式选聘深圳铁路投资建设集团有限公司（以下简称“铁投公司”）住房公积金账户合作银行和2020年政府专项债专户，欢迎有意向的银行机构（以下简称“参选银行”）提交密封参选文件，有关事项如下：</w:t>
      </w:r>
    </w:p>
    <w:p>
      <w:pPr>
        <w:spacing w:line="360" w:lineRule="auto"/>
        <w:ind w:firstLine="442" w:firstLineChars="200"/>
        <w:jc w:val="left"/>
        <w:outlineLvl w:val="1"/>
        <w:rPr>
          <w:rFonts w:asciiTheme="minorEastAsia" w:hAnsiTheme="minorEastAsia" w:cstheme="minorEastAsia"/>
          <w:b/>
          <w:bCs/>
          <w:sz w:val="22"/>
          <w:szCs w:val="22"/>
        </w:rPr>
      </w:pPr>
      <w:bookmarkStart w:id="3" w:name="_Toc5957"/>
      <w:bookmarkStart w:id="4" w:name="_Toc3338"/>
      <w:bookmarkStart w:id="5" w:name="_Toc30296"/>
      <w:r>
        <w:rPr>
          <w:rFonts w:hint="eastAsia" w:asciiTheme="majorEastAsia" w:hAnsiTheme="majorEastAsia" w:eastAsiaTheme="majorEastAsia" w:cstheme="majorEastAsia"/>
          <w:b/>
          <w:bCs/>
          <w:sz w:val="22"/>
          <w:szCs w:val="22"/>
        </w:rPr>
        <w:t>一、项目名称</w:t>
      </w:r>
      <w:bookmarkEnd w:id="3"/>
      <w:bookmarkEnd w:id="4"/>
      <w:bookmarkEnd w:id="5"/>
    </w:p>
    <w:p>
      <w:pPr>
        <w:spacing w:line="360" w:lineRule="auto"/>
        <w:ind w:firstLine="440" w:firstLineChars="200"/>
        <w:jc w:val="left"/>
        <w:rPr>
          <w:rFonts w:hint="eastAsia" w:asciiTheme="minorEastAsia" w:hAnsiTheme="minorEastAsia" w:eastAsiaTheme="minorEastAsia" w:cstheme="minorEastAsia"/>
          <w:sz w:val="22"/>
          <w:szCs w:val="22"/>
          <w:lang w:eastAsia="zh-CN"/>
        </w:rPr>
      </w:pPr>
      <w:r>
        <w:rPr>
          <w:rFonts w:hint="eastAsia" w:asciiTheme="minorEastAsia" w:hAnsiTheme="minorEastAsia" w:cstheme="minorEastAsia"/>
          <w:sz w:val="22"/>
          <w:szCs w:val="22"/>
        </w:rPr>
        <w:t>深圳铁路投资建设集团有限公司住房公积金账户和</w:t>
      </w:r>
      <w:r>
        <w:rPr>
          <w:rFonts w:asciiTheme="minorEastAsia" w:hAnsiTheme="minorEastAsia" w:cstheme="minorEastAsia"/>
          <w:sz w:val="22"/>
          <w:szCs w:val="22"/>
        </w:rPr>
        <w:t>2020年政府专项债专户</w:t>
      </w:r>
      <w:r>
        <w:rPr>
          <w:rFonts w:hint="eastAsia" w:asciiTheme="minorEastAsia" w:hAnsiTheme="minorEastAsia" w:cstheme="minorEastAsia"/>
          <w:sz w:val="22"/>
          <w:szCs w:val="22"/>
        </w:rPr>
        <w:t>合作银行比选项目</w:t>
      </w:r>
      <w:r>
        <w:rPr>
          <w:rFonts w:hint="eastAsia" w:asciiTheme="minorEastAsia" w:hAnsiTheme="minorEastAsia" w:cstheme="minorEastAsia"/>
          <w:sz w:val="22"/>
          <w:szCs w:val="22"/>
          <w:lang w:eastAsia="zh-CN"/>
        </w:rPr>
        <w:t>。</w:t>
      </w:r>
    </w:p>
    <w:p>
      <w:pPr>
        <w:spacing w:line="360" w:lineRule="auto"/>
        <w:ind w:left="0" w:leftChars="0" w:firstLine="442" w:firstLineChars="200"/>
        <w:jc w:val="left"/>
        <w:outlineLvl w:val="1"/>
        <w:rPr>
          <w:rFonts w:hint="eastAsia" w:asciiTheme="majorEastAsia" w:hAnsiTheme="majorEastAsia" w:eastAsiaTheme="majorEastAsia" w:cstheme="majorEastAsia"/>
          <w:b/>
          <w:bCs/>
          <w:sz w:val="22"/>
          <w:szCs w:val="22"/>
        </w:rPr>
      </w:pPr>
      <w:bookmarkStart w:id="6" w:name="_Toc7890"/>
      <w:bookmarkStart w:id="7" w:name="_Toc27072"/>
      <w:bookmarkStart w:id="8" w:name="_Toc32641"/>
      <w:r>
        <w:rPr>
          <w:rFonts w:hint="eastAsia" w:asciiTheme="majorEastAsia" w:hAnsiTheme="majorEastAsia" w:eastAsiaTheme="majorEastAsia" w:cstheme="majorEastAsia"/>
          <w:b/>
          <w:bCs/>
          <w:sz w:val="22"/>
          <w:szCs w:val="22"/>
        </w:rPr>
        <w:t>二、服务内容和要求</w:t>
      </w:r>
      <w:bookmarkEnd w:id="6"/>
      <w:bookmarkEnd w:id="7"/>
      <w:bookmarkEnd w:id="8"/>
    </w:p>
    <w:p>
      <w:pPr>
        <w:ind w:firstLine="440" w:firstLineChars="200"/>
        <w:rPr>
          <w:rFonts w:ascii="宋体" w:hAnsi="宋体" w:cs="宋体"/>
          <w:sz w:val="22"/>
          <w:szCs w:val="22"/>
        </w:rPr>
      </w:pPr>
      <w:r>
        <w:rPr>
          <w:rFonts w:hint="eastAsia" w:asciiTheme="minorEastAsia" w:hAnsiTheme="minorEastAsia" w:cstheme="minorEastAsia"/>
          <w:sz w:val="22"/>
          <w:szCs w:val="22"/>
        </w:rPr>
        <w:t>（一）</w:t>
      </w:r>
      <w:r>
        <w:rPr>
          <w:rFonts w:hint="eastAsia" w:ascii="宋体" w:hAnsi="宋体" w:cs="宋体"/>
          <w:sz w:val="22"/>
          <w:szCs w:val="22"/>
        </w:rPr>
        <w:t>开立银行账户的用途和性质</w:t>
      </w:r>
    </w:p>
    <w:tbl>
      <w:tblPr>
        <w:tblStyle w:val="11"/>
        <w:tblW w:w="828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3435"/>
        <w:gridCol w:w="159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75"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名称</w:t>
            </w:r>
          </w:p>
        </w:tc>
        <w:tc>
          <w:tcPr>
            <w:tcW w:w="3435"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账户用途</w:t>
            </w:r>
          </w:p>
        </w:tc>
        <w:tc>
          <w:tcPr>
            <w:tcW w:w="159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账户性质</w:t>
            </w:r>
          </w:p>
        </w:tc>
        <w:tc>
          <w:tcPr>
            <w:tcW w:w="138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账户数量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7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专项债账户</w:t>
            </w:r>
          </w:p>
        </w:tc>
        <w:tc>
          <w:tcPr>
            <w:tcW w:w="343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用于2020年政府专项债财政资金的拨付以及后续还本付息。</w:t>
            </w:r>
          </w:p>
        </w:tc>
        <w:tc>
          <w:tcPr>
            <w:tcW w:w="1590" w:type="dxa"/>
          </w:tcPr>
          <w:p>
            <w:pPr>
              <w:spacing w:line="360" w:lineRule="auto"/>
              <w:rPr>
                <w:rFonts w:asciiTheme="minorEastAsia" w:hAnsiTheme="minorEastAsia" w:cstheme="minorEastAsia"/>
                <w:sz w:val="22"/>
                <w:szCs w:val="22"/>
              </w:rPr>
            </w:pPr>
            <w:r>
              <w:rPr>
                <w:rFonts w:hint="eastAsia" w:asciiTheme="minorEastAsia" w:hAnsiTheme="minorEastAsia" w:cstheme="minorEastAsia"/>
                <w:sz w:val="22"/>
                <w:szCs w:val="22"/>
              </w:rPr>
              <w:t>一般结算账户</w:t>
            </w:r>
          </w:p>
        </w:tc>
        <w:tc>
          <w:tcPr>
            <w:tcW w:w="138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住房公积金账户</w:t>
            </w:r>
          </w:p>
        </w:tc>
        <w:tc>
          <w:tcPr>
            <w:tcW w:w="3435"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住房公积金缴存和日常结算</w:t>
            </w:r>
          </w:p>
        </w:tc>
        <w:tc>
          <w:tcPr>
            <w:tcW w:w="159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一般结算账户</w:t>
            </w:r>
          </w:p>
        </w:tc>
        <w:tc>
          <w:tcPr>
            <w:tcW w:w="1380" w:type="dxa"/>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1</w:t>
            </w:r>
          </w:p>
        </w:tc>
      </w:tr>
    </w:tbl>
    <w:p>
      <w:pPr>
        <w:numPr>
          <w:ilvl w:val="0"/>
          <w:numId w:val="2"/>
        </w:num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在符合相关监管规定的前提下，中选银行应按照企业需求提供便捷的银行对公服务，包括但不限于企业网银服务、信贷服务、投资理财服务、账户管理服务。</w:t>
      </w:r>
    </w:p>
    <w:p>
      <w:pPr>
        <w:numPr>
          <w:ilvl w:val="0"/>
          <w:numId w:val="2"/>
        </w:num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sz w:val="22"/>
          <w:szCs w:val="22"/>
        </w:rPr>
        <w:t>参选银行提报的存款利率应为无条件利率保证，不得设置包括支取时点，金额、次数、比例、存放期限等在内的限制性条件，且对账户内存款无日均、月均等额外要求。参选银行应保证其提供的存款上浮利率符合国家政策法规及相关政策规定，不存在恶意竞价、扰乱市场等行为。在符合相关政策法规的前提下，中选银行不得因任何理由妨碍比选人正常出款。</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（四）</w:t>
      </w:r>
      <w:r>
        <w:rPr>
          <w:rFonts w:asciiTheme="minorEastAsia" w:hAnsiTheme="minorEastAsia" w:cstheme="minorEastAsia"/>
          <w:sz w:val="22"/>
          <w:szCs w:val="22"/>
        </w:rPr>
        <w:t>在符合相关监管规定的前提下，中选银行应为企业员工提供优惠便捷的个人银行服务。</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（五）</w:t>
      </w:r>
      <w:r>
        <w:rPr>
          <w:rFonts w:asciiTheme="minorEastAsia" w:hAnsiTheme="minorEastAsia" w:cstheme="minorEastAsia"/>
          <w:sz w:val="22"/>
          <w:szCs w:val="22"/>
        </w:rPr>
        <w:t>在符合相关监管规定的前提下，企业款项支付及对公业务的办理应具有便捷性和可操作性。</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（六）</w:t>
      </w:r>
      <w:r>
        <w:rPr>
          <w:rFonts w:asciiTheme="minorEastAsia" w:hAnsiTheme="minorEastAsia" w:cstheme="minorEastAsia"/>
          <w:sz w:val="22"/>
          <w:szCs w:val="22"/>
        </w:rPr>
        <w:t>中选银行应在收到中选通知书后10个工作日内取得所在机构关于</w:t>
      </w:r>
      <w:r>
        <w:rPr>
          <w:rFonts w:hint="eastAsia" w:asciiTheme="minorEastAsia" w:hAnsiTheme="minorEastAsia" w:cstheme="minorEastAsia"/>
          <w:sz w:val="22"/>
          <w:szCs w:val="22"/>
        </w:rPr>
        <w:t>参选文件中的</w:t>
      </w:r>
      <w:r>
        <w:rPr>
          <w:rFonts w:asciiTheme="minorEastAsia" w:hAnsiTheme="minorEastAsia" w:cstheme="minorEastAsia"/>
          <w:sz w:val="22"/>
          <w:szCs w:val="22"/>
        </w:rPr>
        <w:t>报价承诺项目的所有批复文件，超过该期限则顺延至下一候选银行，且对中选银行记违约记录一次。存在违约记录的银行，自收到违约通知书之日起，半年内不得参与比选人发布的任何服务采购类项目（包括理财、存款、贷款等服务项目）。</w:t>
      </w:r>
    </w:p>
    <w:p>
      <w:pPr>
        <w:spacing w:line="360" w:lineRule="auto"/>
        <w:ind w:firstLine="431" w:firstLineChars="196"/>
        <w:rPr>
          <w:rFonts w:ascii="宋体" w:hAnsi="宋体" w:cs="宋体"/>
          <w:bCs/>
          <w:sz w:val="22"/>
          <w:szCs w:val="22"/>
        </w:rPr>
      </w:pPr>
      <w:r>
        <w:rPr>
          <w:rFonts w:hint="eastAsia" w:asciiTheme="minorEastAsia" w:hAnsiTheme="minorEastAsia" w:cstheme="minorEastAsia"/>
          <w:sz w:val="22"/>
          <w:szCs w:val="22"/>
        </w:rPr>
        <w:t>（八）</w:t>
      </w:r>
      <w:r>
        <w:rPr>
          <w:rFonts w:asciiTheme="minorEastAsia" w:hAnsiTheme="minorEastAsia" w:cstheme="minorEastAsia"/>
          <w:sz w:val="22"/>
          <w:szCs w:val="22"/>
        </w:rPr>
        <w:t>参选银行须为</w:t>
      </w:r>
      <w:r>
        <w:rPr>
          <w:rFonts w:hint="eastAsia" w:ascii="宋体" w:hAnsi="宋体" w:cs="宋体"/>
          <w:bCs/>
          <w:sz w:val="22"/>
          <w:szCs w:val="22"/>
        </w:rPr>
        <w:t>深圳地区分行级别。</w:t>
      </w:r>
    </w:p>
    <w:p>
      <w:pPr>
        <w:spacing w:line="360" w:lineRule="auto"/>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（九）无</w:t>
      </w:r>
      <w:r>
        <w:rPr>
          <w:rFonts w:asciiTheme="minorEastAsia" w:hAnsiTheme="minorEastAsia" w:cstheme="minorEastAsia"/>
          <w:sz w:val="22"/>
          <w:szCs w:val="22"/>
        </w:rPr>
        <w:t>论参选银行中选与否，比选人均有权要求参选银行按照递交的服务方案对系统内企业（包括集团本部、分公司及全资子公司）现有业务进行服务优化，若参选银行无法承诺则评审项目以“0分”处理。</w:t>
      </w:r>
    </w:p>
    <w:p>
      <w:pPr>
        <w:spacing w:line="360" w:lineRule="auto"/>
        <w:ind w:firstLine="433" w:firstLineChars="196"/>
        <w:outlineLvl w:val="1"/>
        <w:rPr>
          <w:rFonts w:ascii="宋体" w:hAnsi="宋体" w:cs="宋体"/>
          <w:b/>
          <w:sz w:val="22"/>
          <w:szCs w:val="22"/>
        </w:rPr>
      </w:pPr>
      <w:bookmarkStart w:id="9" w:name="_Toc28024"/>
      <w:bookmarkStart w:id="10" w:name="_Toc16124"/>
      <w:bookmarkStart w:id="11" w:name="_Toc30102"/>
      <w:r>
        <w:rPr>
          <w:rFonts w:hint="eastAsia" w:asciiTheme="majorEastAsia" w:hAnsiTheme="majorEastAsia" w:eastAsiaTheme="majorEastAsia" w:cstheme="majorEastAsia"/>
          <w:b/>
          <w:bCs/>
          <w:sz w:val="22"/>
          <w:szCs w:val="22"/>
        </w:rPr>
        <w:t>三、评审方法</w:t>
      </w:r>
      <w:bookmarkEnd w:id="9"/>
      <w:bookmarkEnd w:id="10"/>
      <w:bookmarkEnd w:id="11"/>
    </w:p>
    <w:p>
      <w:pPr>
        <w:spacing w:line="360" w:lineRule="auto"/>
        <w:ind w:firstLine="433" w:firstLineChars="196"/>
        <w:rPr>
          <w:rFonts w:ascii="宋体" w:hAnsi="宋体" w:cs="宋体"/>
          <w:b/>
          <w:sz w:val="22"/>
          <w:szCs w:val="22"/>
        </w:rPr>
      </w:pPr>
      <w:r>
        <w:rPr>
          <w:rFonts w:hint="eastAsia" w:ascii="宋体" w:hAnsi="宋体" w:cs="宋体"/>
          <w:b/>
          <w:sz w:val="22"/>
          <w:szCs w:val="22"/>
        </w:rPr>
        <w:t>综合评分法。</w:t>
      </w:r>
    </w:p>
    <w:p>
      <w:pPr>
        <w:spacing w:line="360" w:lineRule="auto"/>
        <w:ind w:firstLine="442" w:firstLineChars="200"/>
        <w:jc w:val="left"/>
        <w:outlineLvl w:val="1"/>
        <w:rPr>
          <w:rFonts w:hint="eastAsia" w:asciiTheme="majorEastAsia" w:hAnsiTheme="majorEastAsia" w:eastAsiaTheme="majorEastAsia" w:cstheme="majorEastAsia"/>
          <w:b/>
          <w:bCs/>
          <w:sz w:val="22"/>
          <w:szCs w:val="22"/>
        </w:rPr>
      </w:pPr>
      <w:bookmarkStart w:id="12" w:name="_Toc5100"/>
      <w:bookmarkStart w:id="13" w:name="_Toc18596"/>
      <w:bookmarkStart w:id="14" w:name="_Toc31340"/>
      <w:r>
        <w:rPr>
          <w:rFonts w:hint="eastAsia" w:asciiTheme="majorEastAsia" w:hAnsiTheme="majorEastAsia" w:eastAsiaTheme="majorEastAsia" w:cstheme="majorEastAsia"/>
          <w:b/>
          <w:bCs/>
          <w:sz w:val="22"/>
          <w:szCs w:val="22"/>
        </w:rPr>
        <w:t>四、资格要求</w:t>
      </w:r>
      <w:bookmarkEnd w:id="12"/>
      <w:bookmarkEnd w:id="13"/>
      <w:bookmarkEnd w:id="14"/>
    </w:p>
    <w:p>
      <w:pPr>
        <w:spacing w:line="360" w:lineRule="auto"/>
        <w:ind w:firstLine="431" w:firstLineChars="196"/>
        <w:outlineLvl w:val="1"/>
        <w:rPr>
          <w:rFonts w:hint="eastAsia" w:ascii="宋体" w:hAnsi="宋体" w:cs="宋体"/>
          <w:bCs/>
          <w:sz w:val="22"/>
          <w:szCs w:val="22"/>
        </w:rPr>
      </w:pPr>
      <w:r>
        <w:rPr>
          <w:rFonts w:hint="eastAsia" w:ascii="宋体" w:hAnsi="宋体" w:cs="宋体"/>
          <w:bCs/>
          <w:sz w:val="22"/>
          <w:szCs w:val="22"/>
        </w:rPr>
        <w:t>1.参与</w:t>
      </w:r>
      <w:r>
        <w:rPr>
          <w:rFonts w:hint="eastAsia" w:asciiTheme="minorEastAsia" w:hAnsiTheme="minorEastAsia" w:cstheme="minorEastAsia"/>
          <w:sz w:val="22"/>
          <w:szCs w:val="22"/>
        </w:rPr>
        <w:t>专项债账户</w:t>
      </w:r>
      <w:r>
        <w:rPr>
          <w:rFonts w:hint="eastAsia" w:ascii="宋体" w:hAnsi="宋体" w:cs="宋体"/>
          <w:bCs/>
          <w:sz w:val="22"/>
          <w:szCs w:val="22"/>
        </w:rPr>
        <w:t>比选的银行机构</w:t>
      </w:r>
      <w:r>
        <w:rPr>
          <w:rFonts w:hint="eastAsia" w:ascii="宋体" w:hAnsi="宋体" w:cs="宋体"/>
          <w:bCs/>
          <w:sz w:val="22"/>
          <w:szCs w:val="22"/>
          <w:lang w:val="en-US" w:eastAsia="zh-CN"/>
        </w:rPr>
        <w:t>的资格要求</w:t>
      </w:r>
      <w:r>
        <w:rPr>
          <w:rFonts w:hint="eastAsia" w:ascii="宋体" w:hAnsi="宋体" w:cs="宋体"/>
          <w:bCs/>
          <w:sz w:val="22"/>
          <w:szCs w:val="22"/>
        </w:rPr>
        <w:t>：截至2019年底在地铁集团有贷款余额的银行。同时应具备：在地铁集团或其下属单位三年内无不良行为记录。</w:t>
      </w:r>
    </w:p>
    <w:p>
      <w:pPr>
        <w:spacing w:line="360" w:lineRule="auto"/>
        <w:ind w:firstLine="431" w:firstLineChars="196"/>
        <w:outlineLvl w:val="1"/>
        <w:rPr>
          <w:rFonts w:hint="eastAsia" w:ascii="宋体" w:hAnsi="宋体" w:cs="宋体"/>
          <w:bCs/>
          <w:sz w:val="22"/>
          <w:szCs w:val="22"/>
        </w:rPr>
      </w:pPr>
      <w:r>
        <w:rPr>
          <w:rFonts w:hint="eastAsia" w:ascii="宋体" w:hAnsi="宋体" w:cs="宋体"/>
          <w:bCs/>
          <w:sz w:val="22"/>
          <w:szCs w:val="22"/>
        </w:rPr>
        <w:t>2.参加住房公积金账户比选的银行机构</w:t>
      </w:r>
      <w:r>
        <w:rPr>
          <w:rFonts w:hint="eastAsia" w:ascii="宋体" w:hAnsi="宋体" w:cs="宋体"/>
          <w:bCs/>
          <w:sz w:val="22"/>
          <w:szCs w:val="22"/>
          <w:lang w:val="en-US" w:eastAsia="zh-CN"/>
        </w:rPr>
        <w:t>的资格要求</w:t>
      </w:r>
      <w:r>
        <w:rPr>
          <w:rFonts w:hint="eastAsia" w:ascii="宋体" w:hAnsi="宋体" w:cs="宋体"/>
          <w:bCs/>
          <w:sz w:val="22"/>
          <w:szCs w:val="22"/>
        </w:rPr>
        <w:t>：住房公积金管理中心指定的缴存银行</w:t>
      </w:r>
      <w:bookmarkStart w:id="15" w:name="_Toc6708"/>
      <w:r>
        <w:rPr>
          <w:rFonts w:hint="eastAsia" w:ascii="宋体" w:hAnsi="宋体" w:cs="宋体"/>
          <w:bCs/>
          <w:sz w:val="22"/>
          <w:szCs w:val="22"/>
        </w:rPr>
        <w:t>。同时应具备：在地铁集团或其下属单位三年内无不良行为记录。</w:t>
      </w:r>
    </w:p>
    <w:p>
      <w:pPr>
        <w:spacing w:line="360" w:lineRule="auto"/>
        <w:ind w:firstLine="433" w:firstLineChars="196"/>
        <w:outlineLvl w:val="1"/>
        <w:rPr>
          <w:rFonts w:ascii="宋体" w:hAnsi="宋体" w:cs="宋体"/>
          <w:b/>
          <w:sz w:val="22"/>
          <w:szCs w:val="22"/>
        </w:rPr>
      </w:pPr>
      <w:r>
        <w:rPr>
          <w:rFonts w:hint="eastAsia" w:asciiTheme="majorEastAsia" w:hAnsiTheme="majorEastAsia" w:eastAsiaTheme="majorEastAsia" w:cstheme="majorEastAsia"/>
          <w:b/>
          <w:bCs/>
          <w:sz w:val="22"/>
          <w:szCs w:val="22"/>
        </w:rPr>
        <w:t>五、参选银行提交参选文件需提供的资料（正本一份，副本四份）</w:t>
      </w:r>
      <w:bookmarkEnd w:id="15"/>
    </w:p>
    <w:p>
      <w:pPr>
        <w:spacing w:line="360" w:lineRule="auto"/>
        <w:ind w:firstLine="431" w:firstLineChars="196"/>
        <w:rPr>
          <w:rFonts w:ascii="宋体" w:hAnsi="宋体" w:cs="宋体"/>
          <w:bCs/>
          <w:sz w:val="22"/>
          <w:szCs w:val="22"/>
        </w:rPr>
      </w:pPr>
      <w:r>
        <w:rPr>
          <w:rFonts w:hint="eastAsia" w:ascii="宋体" w:hAnsi="宋体" w:cs="宋体"/>
          <w:bCs/>
          <w:sz w:val="22"/>
          <w:szCs w:val="22"/>
        </w:rPr>
        <w:t>1.营业执照复印件；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2.金融许可证复印件；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3.法定代表人证明书（原件）；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4.法定代表人身份证复印件；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5.法人授权委托证明书（原件）；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6.委托代理人身份证复印件；</w:t>
      </w:r>
    </w:p>
    <w:p>
      <w:pPr>
        <w:spacing w:line="360" w:lineRule="auto"/>
        <w:ind w:firstLine="431" w:firstLineChars="196"/>
        <w:rPr>
          <w:rFonts w:ascii="宋体" w:hAnsi="宋体" w:cs="宋体"/>
          <w:bCs/>
          <w:sz w:val="22"/>
          <w:szCs w:val="22"/>
        </w:rPr>
      </w:pPr>
      <w:r>
        <w:rPr>
          <w:rFonts w:hint="eastAsia" w:ascii="宋体" w:hAnsi="宋体" w:cs="宋体"/>
          <w:bCs/>
          <w:sz w:val="22"/>
          <w:szCs w:val="22"/>
        </w:rPr>
        <w:t>7.资产实力和资本安全；</w:t>
      </w:r>
    </w:p>
    <w:p>
      <w:pPr>
        <w:spacing w:line="360" w:lineRule="auto"/>
        <w:ind w:firstLine="431" w:firstLineChars="196"/>
        <w:rPr>
          <w:rFonts w:ascii="宋体" w:hAnsi="宋体" w:cs="宋体"/>
          <w:bCs/>
          <w:sz w:val="22"/>
          <w:szCs w:val="22"/>
        </w:rPr>
      </w:pPr>
      <w:r>
        <w:rPr>
          <w:rFonts w:hint="eastAsia" w:ascii="宋体" w:hAnsi="宋体" w:cs="宋体"/>
          <w:bCs/>
          <w:sz w:val="22"/>
          <w:szCs w:val="22"/>
        </w:rPr>
        <w:t>8.银行总部经济及税收贡献；</w:t>
      </w:r>
    </w:p>
    <w:p>
      <w:pPr>
        <w:spacing w:line="360" w:lineRule="auto"/>
        <w:ind w:firstLine="431" w:firstLineChars="196"/>
        <w:rPr>
          <w:rFonts w:ascii="宋体" w:hAnsi="宋体" w:cs="宋体"/>
          <w:bCs/>
          <w:sz w:val="22"/>
          <w:szCs w:val="22"/>
        </w:rPr>
      </w:pPr>
      <w:r>
        <w:rPr>
          <w:rFonts w:hint="eastAsia" w:ascii="宋体" w:hAnsi="宋体" w:cs="宋体"/>
          <w:bCs/>
          <w:sz w:val="22"/>
          <w:szCs w:val="22"/>
        </w:rPr>
        <w:t>9.银企合作规模；</w:t>
      </w:r>
    </w:p>
    <w:p>
      <w:pPr>
        <w:spacing w:line="360" w:lineRule="auto"/>
        <w:ind w:firstLine="431" w:firstLineChars="196"/>
        <w:rPr>
          <w:rFonts w:ascii="宋体" w:hAnsi="宋体" w:cs="宋体"/>
          <w:bCs/>
          <w:sz w:val="22"/>
          <w:szCs w:val="22"/>
        </w:rPr>
      </w:pPr>
      <w:r>
        <w:rPr>
          <w:rFonts w:hint="eastAsia" w:ascii="宋体" w:hAnsi="宋体" w:cs="宋体"/>
          <w:bCs/>
          <w:sz w:val="22"/>
          <w:szCs w:val="22"/>
        </w:rPr>
        <w:t>10.集团资金业务参与情况；</w:t>
      </w:r>
    </w:p>
    <w:p>
      <w:pPr>
        <w:spacing w:line="360" w:lineRule="auto"/>
        <w:ind w:firstLine="431" w:firstLineChars="196"/>
        <w:rPr>
          <w:rFonts w:ascii="宋体" w:hAnsi="宋体" w:cs="宋体"/>
          <w:bCs/>
          <w:sz w:val="22"/>
          <w:szCs w:val="22"/>
        </w:rPr>
      </w:pPr>
      <w:r>
        <w:rPr>
          <w:rFonts w:hint="eastAsia" w:ascii="宋体" w:hAnsi="宋体" w:cs="宋体"/>
          <w:bCs/>
          <w:sz w:val="22"/>
          <w:szCs w:val="22"/>
        </w:rPr>
        <w:t>11.服务水平；</w:t>
      </w:r>
    </w:p>
    <w:p>
      <w:pPr>
        <w:spacing w:line="360" w:lineRule="auto"/>
        <w:ind w:firstLine="431" w:firstLineChars="196"/>
        <w:rPr>
          <w:rFonts w:ascii="宋体" w:hAnsi="宋体" w:cs="宋体"/>
          <w:bCs/>
          <w:sz w:val="22"/>
          <w:szCs w:val="22"/>
        </w:rPr>
      </w:pPr>
      <w:r>
        <w:rPr>
          <w:rFonts w:hint="eastAsia" w:ascii="宋体" w:hAnsi="宋体" w:cs="宋体"/>
          <w:bCs/>
          <w:sz w:val="22"/>
          <w:szCs w:val="22"/>
        </w:rPr>
        <w:t>12.利率报价；</w:t>
      </w:r>
    </w:p>
    <w:p>
      <w:pPr>
        <w:spacing w:line="360" w:lineRule="auto"/>
        <w:ind w:firstLine="431" w:firstLineChars="196"/>
        <w:rPr>
          <w:rFonts w:ascii="宋体" w:hAnsi="宋体" w:cs="宋体"/>
          <w:bCs/>
          <w:sz w:val="22"/>
          <w:szCs w:val="22"/>
        </w:rPr>
      </w:pPr>
      <w:r>
        <w:rPr>
          <w:rFonts w:hint="eastAsia" w:ascii="宋体" w:hAnsi="宋体" w:cs="宋体"/>
          <w:bCs/>
          <w:sz w:val="22"/>
          <w:szCs w:val="22"/>
        </w:rPr>
        <w:t>13</w:t>
      </w:r>
      <w:r>
        <w:rPr>
          <w:rFonts w:ascii="宋体" w:hAnsi="宋体" w:cs="宋体"/>
          <w:bCs/>
          <w:sz w:val="22"/>
          <w:szCs w:val="22"/>
        </w:rPr>
        <w:t>.廉洁投标承诺书</w:t>
      </w:r>
      <w:r>
        <w:rPr>
          <w:rFonts w:hint="eastAsia" w:ascii="宋体" w:hAnsi="宋体" w:cs="宋体"/>
          <w:bCs/>
          <w:sz w:val="22"/>
          <w:szCs w:val="22"/>
        </w:rPr>
        <w:t>；</w:t>
      </w:r>
    </w:p>
    <w:p>
      <w:pPr>
        <w:spacing w:line="360" w:lineRule="auto"/>
        <w:ind w:firstLine="431" w:firstLineChars="196"/>
        <w:rPr>
          <w:rFonts w:ascii="宋体" w:hAnsi="宋体" w:cs="宋体"/>
          <w:bCs/>
          <w:sz w:val="22"/>
          <w:szCs w:val="22"/>
        </w:rPr>
      </w:pPr>
      <w:r>
        <w:rPr>
          <w:rFonts w:hint="eastAsia" w:ascii="宋体" w:hAnsi="宋体" w:cs="宋体"/>
          <w:bCs/>
          <w:sz w:val="22"/>
          <w:szCs w:val="22"/>
        </w:rPr>
        <w:t>14.承诺函。</w:t>
      </w:r>
    </w:p>
    <w:p>
      <w:pPr>
        <w:spacing w:line="360" w:lineRule="auto"/>
        <w:ind w:firstLine="433" w:firstLineChars="196"/>
        <w:outlineLvl w:val="9"/>
        <w:rPr>
          <w:rFonts w:hint="eastAsia" w:asciiTheme="majorEastAsia" w:hAnsiTheme="majorEastAsia" w:eastAsiaTheme="majorEastAsia" w:cstheme="majorEastAsia"/>
          <w:b/>
          <w:bCs/>
          <w:sz w:val="22"/>
          <w:szCs w:val="22"/>
        </w:rPr>
      </w:pPr>
      <w:bookmarkStart w:id="16" w:name="_Toc22498"/>
      <w:bookmarkStart w:id="17" w:name="_Toc17758"/>
      <w:bookmarkStart w:id="18" w:name="_Toc18328"/>
    </w:p>
    <w:p>
      <w:pPr>
        <w:spacing w:line="360" w:lineRule="auto"/>
        <w:ind w:firstLine="433" w:firstLineChars="196"/>
        <w:outlineLvl w:val="1"/>
        <w:rPr>
          <w:rFonts w:ascii="宋体" w:hAnsi="宋体" w:cs="宋体"/>
          <w:b/>
          <w:sz w:val="22"/>
          <w:szCs w:val="22"/>
        </w:rPr>
      </w:pPr>
      <w:r>
        <w:rPr>
          <w:rFonts w:hint="eastAsia" w:asciiTheme="majorEastAsia" w:hAnsiTheme="majorEastAsia" w:eastAsiaTheme="majorEastAsia" w:cstheme="majorEastAsia"/>
          <w:b/>
          <w:bCs/>
          <w:sz w:val="22"/>
          <w:szCs w:val="22"/>
        </w:rPr>
        <w:t>六、比选公告的发布</w:t>
      </w:r>
      <w:bookmarkEnd w:id="16"/>
      <w:bookmarkEnd w:id="17"/>
      <w:bookmarkEnd w:id="18"/>
    </w:p>
    <w:p>
      <w:pPr>
        <w:spacing w:line="360" w:lineRule="auto"/>
        <w:ind w:firstLine="433" w:firstLineChars="196"/>
        <w:rPr>
          <w:rFonts w:ascii="宋体" w:hAnsi="宋体" w:cs="宋体"/>
          <w:b/>
          <w:sz w:val="22"/>
          <w:szCs w:val="22"/>
        </w:rPr>
      </w:pPr>
      <w:r>
        <w:rPr>
          <w:rFonts w:hint="eastAsia" w:ascii="宋体" w:hAnsi="宋体" w:cs="宋体"/>
          <w:b/>
          <w:sz w:val="22"/>
          <w:szCs w:val="22"/>
        </w:rPr>
        <w:t>比选公告将于2</w:t>
      </w:r>
      <w:r>
        <w:rPr>
          <w:rFonts w:ascii="宋体" w:hAnsi="宋体" w:cs="宋体"/>
          <w:b/>
          <w:sz w:val="22"/>
          <w:szCs w:val="22"/>
        </w:rPr>
        <w:t>020</w:t>
      </w:r>
      <w:r>
        <w:rPr>
          <w:rFonts w:hint="eastAsia" w:ascii="宋体" w:hAnsi="宋体" w:cs="宋体"/>
          <w:b/>
          <w:sz w:val="22"/>
          <w:szCs w:val="22"/>
        </w:rPr>
        <w:t>年</w:t>
      </w:r>
      <w:r>
        <w:rPr>
          <w:rFonts w:hint="eastAsia" w:ascii="宋体" w:hAnsi="宋体" w:cs="宋体"/>
          <w:b/>
          <w:sz w:val="22"/>
          <w:szCs w:val="22"/>
          <w:lang w:val="en-US" w:eastAsia="zh-CN"/>
        </w:rPr>
        <w:t>6</w:t>
      </w:r>
      <w:r>
        <w:rPr>
          <w:rFonts w:hint="eastAsia" w:ascii="宋体" w:hAnsi="宋体" w:cs="宋体"/>
          <w:b/>
          <w:sz w:val="22"/>
          <w:szCs w:val="22"/>
        </w:rPr>
        <w:t>月</w:t>
      </w:r>
      <w:r>
        <w:rPr>
          <w:rFonts w:hint="eastAsia" w:ascii="宋体" w:hAnsi="宋体" w:cs="宋体"/>
          <w:b/>
          <w:sz w:val="22"/>
          <w:szCs w:val="22"/>
          <w:lang w:val="en-US" w:eastAsia="zh-CN"/>
        </w:rPr>
        <w:t>2</w:t>
      </w:r>
      <w:r>
        <w:rPr>
          <w:rFonts w:hint="eastAsia" w:ascii="宋体" w:hAnsi="宋体" w:cs="宋体"/>
          <w:b/>
          <w:sz w:val="22"/>
          <w:szCs w:val="22"/>
        </w:rPr>
        <w:t>日在深圳市地铁集团有限公司外网、国资委阳光采购平台上发布。比选人的补遗文件都将在参选截止日</w:t>
      </w:r>
      <w:r>
        <w:rPr>
          <w:rFonts w:ascii="宋体" w:hAnsi="宋体" w:cs="宋体"/>
          <w:b/>
          <w:sz w:val="22"/>
          <w:szCs w:val="22"/>
        </w:rPr>
        <w:t>3</w:t>
      </w:r>
      <w:r>
        <w:rPr>
          <w:rFonts w:hint="eastAsia" w:ascii="宋体" w:hAnsi="宋体" w:cs="宋体"/>
          <w:b/>
          <w:sz w:val="22"/>
          <w:szCs w:val="22"/>
        </w:rPr>
        <w:t>日前通过“深圳地铁官网”、国资委阳光采购平台向所有银行公示。参选人应随时查看“深圳地铁官网”、“国资委阳光采购平台”中有关该项目补遗文件的信息。否则，由此导致的不利后果由银行自负。比选文件的补遗作为比选文件的组成部分，具有约束力。</w:t>
      </w:r>
    </w:p>
    <w:p>
      <w:pPr>
        <w:spacing w:line="360" w:lineRule="auto"/>
        <w:ind w:firstLine="442" w:firstLineChars="200"/>
        <w:jc w:val="left"/>
        <w:outlineLvl w:val="1"/>
        <w:rPr>
          <w:rFonts w:hint="eastAsia" w:asciiTheme="majorEastAsia" w:hAnsiTheme="majorEastAsia" w:eastAsiaTheme="majorEastAsia" w:cstheme="majorEastAsia"/>
          <w:b/>
          <w:bCs/>
          <w:sz w:val="22"/>
          <w:szCs w:val="22"/>
        </w:rPr>
      </w:pPr>
      <w:bookmarkStart w:id="19" w:name="_Toc27471"/>
      <w:bookmarkStart w:id="20" w:name="_Toc18701"/>
      <w:bookmarkStart w:id="21" w:name="_Toc26452"/>
      <w:r>
        <w:rPr>
          <w:rFonts w:hint="eastAsia" w:asciiTheme="majorEastAsia" w:hAnsiTheme="majorEastAsia" w:eastAsiaTheme="majorEastAsia" w:cstheme="majorEastAsia"/>
          <w:b/>
          <w:bCs/>
          <w:sz w:val="22"/>
          <w:szCs w:val="22"/>
        </w:rPr>
        <w:t>七、参选文件的递交及评审</w:t>
      </w:r>
      <w:bookmarkEnd w:id="19"/>
      <w:bookmarkEnd w:id="20"/>
      <w:bookmarkEnd w:id="21"/>
      <w:r>
        <w:rPr>
          <w:rFonts w:hint="eastAsia" w:asciiTheme="majorEastAsia" w:hAnsiTheme="majorEastAsia" w:eastAsiaTheme="majorEastAsia" w:cstheme="majorEastAsia"/>
          <w:b/>
          <w:bCs/>
          <w:sz w:val="22"/>
          <w:szCs w:val="22"/>
        </w:rPr>
        <w:t xml:space="preserve"> </w:t>
      </w:r>
    </w:p>
    <w:p>
      <w:pPr>
        <w:pStyle w:val="7"/>
        <w:spacing w:line="360" w:lineRule="auto"/>
        <w:ind w:firstLine="440" w:firstLineChars="200"/>
        <w:rPr>
          <w:rFonts w:cs="宋体" w:asciiTheme="majorEastAsia" w:hAnsiTheme="majorEastAsia" w:eastAsiaTheme="majorEastAsia"/>
          <w:kern w:val="2"/>
          <w:sz w:val="22"/>
          <w:szCs w:val="22"/>
        </w:rPr>
      </w:pPr>
      <w:r>
        <w:rPr>
          <w:rFonts w:hint="eastAsia" w:cs="宋体" w:asciiTheme="majorEastAsia" w:hAnsiTheme="majorEastAsia" w:eastAsiaTheme="majorEastAsia"/>
          <w:kern w:val="2"/>
          <w:sz w:val="22"/>
          <w:szCs w:val="22"/>
        </w:rPr>
        <w:t>1.参选文件递交截止时间：2020年</w:t>
      </w:r>
      <w:r>
        <w:rPr>
          <w:rFonts w:hint="eastAsia" w:cs="宋体" w:asciiTheme="majorEastAsia" w:hAnsiTheme="majorEastAsia" w:eastAsiaTheme="majorEastAsia"/>
          <w:kern w:val="2"/>
          <w:sz w:val="22"/>
          <w:szCs w:val="22"/>
          <w:lang w:val="en-US" w:eastAsia="zh-CN"/>
        </w:rPr>
        <w:t>6</w:t>
      </w:r>
      <w:r>
        <w:rPr>
          <w:rFonts w:hint="eastAsia" w:cs="宋体" w:asciiTheme="majorEastAsia" w:hAnsiTheme="majorEastAsia" w:eastAsiaTheme="majorEastAsia"/>
          <w:kern w:val="2"/>
          <w:sz w:val="22"/>
          <w:szCs w:val="22"/>
        </w:rPr>
        <w:t>月</w:t>
      </w:r>
      <w:r>
        <w:rPr>
          <w:rFonts w:hint="eastAsia" w:cs="宋体" w:asciiTheme="majorEastAsia" w:hAnsiTheme="majorEastAsia" w:eastAsiaTheme="majorEastAsia"/>
          <w:kern w:val="2"/>
          <w:sz w:val="22"/>
          <w:szCs w:val="22"/>
          <w:lang w:val="en-US" w:eastAsia="zh-CN"/>
        </w:rPr>
        <w:t>9</w:t>
      </w:r>
      <w:r>
        <w:rPr>
          <w:rFonts w:hint="eastAsia" w:cs="宋体" w:asciiTheme="majorEastAsia" w:hAnsiTheme="majorEastAsia" w:eastAsiaTheme="majorEastAsia"/>
          <w:kern w:val="2"/>
          <w:sz w:val="22"/>
          <w:szCs w:val="22"/>
        </w:rPr>
        <w:t>日</w:t>
      </w:r>
      <w:r>
        <w:rPr>
          <w:rFonts w:hint="eastAsia" w:cs="宋体" w:asciiTheme="majorEastAsia" w:hAnsiTheme="majorEastAsia" w:eastAsiaTheme="majorEastAsia"/>
          <w:kern w:val="2"/>
          <w:sz w:val="22"/>
          <w:szCs w:val="22"/>
          <w:lang w:val="en-US" w:eastAsia="zh-CN"/>
        </w:rPr>
        <w:t>上</w:t>
      </w:r>
      <w:r>
        <w:rPr>
          <w:rFonts w:hint="eastAsia" w:cs="宋体" w:asciiTheme="majorEastAsia" w:hAnsiTheme="majorEastAsia" w:eastAsiaTheme="majorEastAsia"/>
          <w:kern w:val="2"/>
          <w:sz w:val="22"/>
          <w:szCs w:val="22"/>
        </w:rPr>
        <w:t>午</w:t>
      </w:r>
      <w:r>
        <w:rPr>
          <w:rFonts w:hint="eastAsia" w:cs="宋体" w:asciiTheme="majorEastAsia" w:hAnsiTheme="majorEastAsia" w:eastAsiaTheme="majorEastAsia"/>
          <w:kern w:val="2"/>
          <w:sz w:val="22"/>
          <w:szCs w:val="22"/>
          <w:lang w:val="en-US" w:eastAsia="zh-CN"/>
        </w:rPr>
        <w:t>12</w:t>
      </w:r>
      <w:r>
        <w:rPr>
          <w:rFonts w:hint="eastAsia" w:cs="宋体" w:asciiTheme="majorEastAsia" w:hAnsiTheme="majorEastAsia" w:eastAsiaTheme="majorEastAsia"/>
          <w:kern w:val="2"/>
          <w:sz w:val="22"/>
          <w:szCs w:val="22"/>
        </w:rPr>
        <w:t xml:space="preserve">:00（北京时间） </w:t>
      </w:r>
    </w:p>
    <w:p>
      <w:pPr>
        <w:pStyle w:val="7"/>
        <w:spacing w:line="360" w:lineRule="auto"/>
        <w:ind w:firstLine="440" w:firstLineChars="200"/>
        <w:rPr>
          <w:rFonts w:cs="宋体" w:asciiTheme="majorEastAsia" w:hAnsiTheme="majorEastAsia" w:eastAsiaTheme="majorEastAsia"/>
          <w:kern w:val="2"/>
          <w:sz w:val="22"/>
          <w:szCs w:val="22"/>
        </w:rPr>
      </w:pPr>
      <w:r>
        <w:rPr>
          <w:rFonts w:hint="eastAsia" w:cs="宋体" w:asciiTheme="majorEastAsia" w:hAnsiTheme="majorEastAsia" w:eastAsiaTheme="majorEastAsia"/>
          <w:kern w:val="2"/>
          <w:sz w:val="22"/>
          <w:szCs w:val="22"/>
        </w:rPr>
        <w:t xml:space="preserve">2.参选文件递交地点： 地铁大厦20楼2011室 </w:t>
      </w:r>
    </w:p>
    <w:p>
      <w:pPr>
        <w:pStyle w:val="7"/>
        <w:spacing w:line="360" w:lineRule="auto"/>
        <w:ind w:firstLine="440" w:firstLineChars="200"/>
        <w:rPr>
          <w:rFonts w:cs="宋体" w:asciiTheme="majorEastAsia" w:hAnsiTheme="majorEastAsia" w:eastAsiaTheme="majorEastAsia"/>
          <w:kern w:val="2"/>
          <w:sz w:val="22"/>
          <w:szCs w:val="22"/>
        </w:rPr>
      </w:pPr>
      <w:r>
        <w:rPr>
          <w:rFonts w:hint="eastAsia" w:cs="宋体" w:asciiTheme="majorEastAsia" w:hAnsiTheme="majorEastAsia" w:eastAsiaTheme="majorEastAsia"/>
          <w:kern w:val="2"/>
          <w:sz w:val="22"/>
          <w:szCs w:val="22"/>
        </w:rPr>
        <w:t>3.评审时间：2020年</w:t>
      </w:r>
      <w:r>
        <w:rPr>
          <w:rFonts w:hint="eastAsia" w:cs="宋体" w:asciiTheme="majorEastAsia" w:hAnsiTheme="majorEastAsia" w:eastAsiaTheme="majorEastAsia"/>
          <w:kern w:val="2"/>
          <w:sz w:val="22"/>
          <w:szCs w:val="22"/>
          <w:lang w:val="en-US" w:eastAsia="zh-CN"/>
        </w:rPr>
        <w:t>6</w:t>
      </w:r>
      <w:r>
        <w:rPr>
          <w:rFonts w:hint="eastAsia" w:cs="宋体" w:asciiTheme="majorEastAsia" w:hAnsiTheme="majorEastAsia" w:eastAsiaTheme="majorEastAsia"/>
          <w:kern w:val="2"/>
          <w:sz w:val="22"/>
          <w:szCs w:val="22"/>
        </w:rPr>
        <w:t>月</w:t>
      </w:r>
      <w:r>
        <w:rPr>
          <w:rFonts w:hint="eastAsia" w:cs="宋体" w:asciiTheme="majorEastAsia" w:hAnsiTheme="majorEastAsia" w:eastAsiaTheme="majorEastAsia"/>
          <w:kern w:val="2"/>
          <w:sz w:val="22"/>
          <w:szCs w:val="22"/>
          <w:lang w:val="en-US" w:eastAsia="zh-CN"/>
        </w:rPr>
        <w:t>9</w:t>
      </w:r>
      <w:r>
        <w:rPr>
          <w:rFonts w:hint="eastAsia" w:cs="宋体" w:asciiTheme="majorEastAsia" w:hAnsiTheme="majorEastAsia" w:eastAsiaTheme="majorEastAsia"/>
          <w:kern w:val="2"/>
          <w:sz w:val="22"/>
          <w:szCs w:val="22"/>
        </w:rPr>
        <w:t>日</w:t>
      </w:r>
      <w:r>
        <w:rPr>
          <w:rFonts w:hint="eastAsia" w:cs="宋体" w:asciiTheme="majorEastAsia" w:hAnsiTheme="majorEastAsia" w:eastAsiaTheme="majorEastAsia"/>
          <w:kern w:val="2"/>
          <w:sz w:val="22"/>
          <w:szCs w:val="22"/>
          <w:lang w:val="en-US" w:eastAsia="zh-CN"/>
        </w:rPr>
        <w:t>下午2</w:t>
      </w:r>
      <w:r>
        <w:rPr>
          <w:rFonts w:hint="eastAsia" w:cs="宋体" w:asciiTheme="majorEastAsia" w:hAnsiTheme="majorEastAsia" w:eastAsiaTheme="majorEastAsia"/>
          <w:kern w:val="2"/>
          <w:sz w:val="22"/>
          <w:szCs w:val="22"/>
        </w:rPr>
        <w:t xml:space="preserve">:30（北京时间） </w:t>
      </w:r>
    </w:p>
    <w:p>
      <w:pPr>
        <w:pStyle w:val="7"/>
        <w:spacing w:line="360" w:lineRule="auto"/>
        <w:ind w:firstLine="440" w:firstLineChars="200"/>
        <w:rPr>
          <w:rFonts w:hint="eastAsia" w:cs="宋体" w:asciiTheme="majorEastAsia" w:hAnsiTheme="majorEastAsia" w:eastAsiaTheme="majorEastAsia"/>
          <w:kern w:val="2"/>
          <w:sz w:val="22"/>
          <w:szCs w:val="22"/>
          <w:lang w:eastAsia="zh-CN"/>
        </w:rPr>
      </w:pPr>
      <w:r>
        <w:rPr>
          <w:rFonts w:hint="eastAsia" w:cs="宋体" w:asciiTheme="majorEastAsia" w:hAnsiTheme="majorEastAsia" w:eastAsiaTheme="majorEastAsia"/>
          <w:kern w:val="2"/>
          <w:sz w:val="22"/>
          <w:szCs w:val="22"/>
        </w:rPr>
        <w:t>4.评审地点：深圳市福中一路1016号地铁大厦会议室</w:t>
      </w:r>
      <w:r>
        <w:rPr>
          <w:rFonts w:hint="eastAsia" w:cs="宋体" w:asciiTheme="majorEastAsia" w:hAnsiTheme="majorEastAsia" w:eastAsiaTheme="majorEastAsia"/>
          <w:kern w:val="2"/>
          <w:sz w:val="22"/>
          <w:szCs w:val="22"/>
          <w:lang w:val="en-US" w:eastAsia="zh-CN"/>
        </w:rPr>
        <w:t>20</w:t>
      </w:r>
      <w:r>
        <w:rPr>
          <w:rFonts w:hint="eastAsia" w:cs="宋体" w:asciiTheme="majorEastAsia" w:hAnsiTheme="majorEastAsia" w:eastAsiaTheme="majorEastAsia"/>
          <w:kern w:val="2"/>
          <w:sz w:val="22"/>
          <w:szCs w:val="22"/>
        </w:rPr>
        <w:t>-</w:t>
      </w:r>
      <w:r>
        <w:rPr>
          <w:rFonts w:hint="eastAsia" w:cs="宋体" w:asciiTheme="majorEastAsia" w:hAnsiTheme="majorEastAsia" w:eastAsiaTheme="majorEastAsia"/>
          <w:kern w:val="2"/>
          <w:sz w:val="22"/>
          <w:szCs w:val="22"/>
          <w:lang w:val="en-US" w:eastAsia="zh-CN"/>
        </w:rPr>
        <w:t>1</w:t>
      </w:r>
    </w:p>
    <w:p>
      <w:pPr>
        <w:spacing w:line="360" w:lineRule="auto"/>
        <w:ind w:firstLine="431" w:firstLineChars="196"/>
        <w:rPr>
          <w:rFonts w:asciiTheme="majorEastAsia" w:hAnsiTheme="majorEastAsia" w:eastAsiaTheme="majorEastAsia"/>
          <w:kern w:val="0"/>
          <w:sz w:val="20"/>
        </w:rPr>
      </w:pPr>
      <w:r>
        <w:rPr>
          <w:rFonts w:hint="eastAsia" w:cs="宋体" w:asciiTheme="majorEastAsia" w:hAnsiTheme="majorEastAsia" w:eastAsiaTheme="majorEastAsia"/>
          <w:sz w:val="22"/>
          <w:szCs w:val="22"/>
        </w:rPr>
        <w:t>5.联系人：赵小姐                      联系方式：0755-23881362</w:t>
      </w:r>
    </w:p>
    <w:p>
      <w:pPr>
        <w:spacing w:line="360" w:lineRule="auto"/>
        <w:ind w:firstLine="442" w:firstLineChars="200"/>
        <w:jc w:val="left"/>
        <w:outlineLvl w:val="1"/>
        <w:rPr>
          <w:rFonts w:hint="eastAsia" w:asciiTheme="majorEastAsia" w:hAnsiTheme="majorEastAsia" w:eastAsiaTheme="majorEastAsia" w:cstheme="majorEastAsia"/>
          <w:b/>
          <w:bCs/>
          <w:sz w:val="22"/>
          <w:szCs w:val="22"/>
        </w:rPr>
      </w:pPr>
      <w:bookmarkStart w:id="22" w:name="_Toc108"/>
      <w:bookmarkStart w:id="23" w:name="_Toc5766"/>
      <w:bookmarkStart w:id="24" w:name="_Toc24829"/>
      <w:r>
        <w:rPr>
          <w:rFonts w:hint="eastAsia" w:asciiTheme="majorEastAsia" w:hAnsiTheme="majorEastAsia" w:eastAsiaTheme="majorEastAsia" w:cstheme="majorEastAsia"/>
          <w:b/>
          <w:bCs/>
          <w:sz w:val="22"/>
          <w:szCs w:val="22"/>
        </w:rPr>
        <w:t>八、其他注意事项</w:t>
      </w:r>
      <w:bookmarkEnd w:id="22"/>
      <w:bookmarkEnd w:id="23"/>
      <w:bookmarkEnd w:id="24"/>
    </w:p>
    <w:p>
      <w:pPr>
        <w:pStyle w:val="7"/>
        <w:spacing w:line="360" w:lineRule="auto"/>
        <w:ind w:firstLine="440" w:firstLineChars="200"/>
        <w:rPr>
          <w:rFonts w:hAnsi="宋体" w:eastAsia="宋体" w:cs="宋体"/>
          <w:kern w:val="2"/>
          <w:sz w:val="22"/>
          <w:szCs w:val="22"/>
        </w:rPr>
      </w:pPr>
      <w:r>
        <w:rPr>
          <w:rFonts w:hint="eastAsia" w:hAnsi="宋体" w:eastAsia="宋体" w:cs="宋体"/>
          <w:kern w:val="2"/>
          <w:sz w:val="22"/>
          <w:szCs w:val="22"/>
        </w:rPr>
        <w:t>1.比选人不承担参选银行准备参选文件、递交参选文件以及参加本次比选活动所发生的任何成本或费用。</w:t>
      </w:r>
    </w:p>
    <w:p>
      <w:pPr>
        <w:pStyle w:val="7"/>
        <w:spacing w:line="360" w:lineRule="auto"/>
        <w:ind w:firstLine="440" w:firstLineChars="200"/>
        <w:rPr>
          <w:rFonts w:hAnsi="宋体" w:eastAsia="宋体" w:cs="宋体"/>
          <w:kern w:val="2"/>
          <w:sz w:val="22"/>
          <w:szCs w:val="22"/>
        </w:rPr>
      </w:pPr>
      <w:r>
        <w:rPr>
          <w:rFonts w:hint="eastAsia" w:hAnsi="宋体" w:eastAsia="宋体" w:cs="宋体"/>
          <w:kern w:val="2"/>
          <w:sz w:val="22"/>
          <w:szCs w:val="22"/>
        </w:rPr>
        <w:t>2.比选人在与参选银行签订正式合同之前的任何时候均有权宣布终止比选程序，对受影响的参选银行不承担任何责任，也无义务向受影响的参选银行做出解释。</w:t>
      </w:r>
    </w:p>
    <w:p>
      <w:pPr>
        <w:pStyle w:val="7"/>
        <w:spacing w:line="360" w:lineRule="auto"/>
        <w:ind w:firstLine="440" w:firstLineChars="200"/>
        <w:rPr>
          <w:rFonts w:hAnsi="宋体" w:eastAsia="宋体" w:cs="宋体"/>
          <w:kern w:val="2"/>
          <w:sz w:val="22"/>
          <w:szCs w:val="22"/>
        </w:rPr>
      </w:pPr>
      <w:r>
        <w:rPr>
          <w:rFonts w:hint="eastAsia" w:hAnsi="宋体" w:eastAsia="宋体" w:cs="宋体"/>
          <w:kern w:val="2"/>
          <w:sz w:val="22"/>
          <w:szCs w:val="22"/>
        </w:rPr>
        <w:t>3.</w:t>
      </w:r>
      <w:r>
        <w:rPr>
          <w:rFonts w:hint="eastAsia" w:hAnsi="宋体"/>
          <w:snapToGrid w:val="0"/>
          <w:sz w:val="22"/>
          <w:szCs w:val="22"/>
        </w:rPr>
        <w:t>至截止时间，受理的参选银行少于</w:t>
      </w:r>
      <w:r>
        <w:rPr>
          <w:rFonts w:hAnsi="宋体"/>
          <w:snapToGrid w:val="0"/>
          <w:sz w:val="22"/>
          <w:szCs w:val="22"/>
          <w:shd w:val="clear" w:color="auto" w:fill="FFFFFF" w:themeFill="background1"/>
        </w:rPr>
        <w:t>4</w:t>
      </w:r>
      <w:r>
        <w:rPr>
          <w:rFonts w:hint="eastAsia" w:hAnsi="宋体"/>
          <w:snapToGrid w:val="0"/>
          <w:sz w:val="22"/>
          <w:szCs w:val="22"/>
        </w:rPr>
        <w:t>家的，须重新组织比选。</w:t>
      </w:r>
    </w:p>
    <w:p>
      <w:pPr>
        <w:jc w:val="center"/>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r>
        <w:rPr>
          <w:rFonts w:hint="eastAsia" w:ascii="宋体" w:hAnsi="宋体" w:eastAsia="宋体" w:cstheme="minorEastAsia"/>
          <w:sz w:val="22"/>
          <w:szCs w:val="22"/>
        </w:rPr>
        <w:t>深圳铁路投资建设集团有限公司</w:t>
      </w:r>
    </w:p>
    <w:p>
      <w:pPr>
        <w:jc w:val="right"/>
        <w:rPr>
          <w:rFonts w:ascii="宋体" w:hAnsi="宋体" w:eastAsia="宋体" w:cstheme="minorEastAsia"/>
          <w:sz w:val="22"/>
          <w:szCs w:val="22"/>
        </w:rPr>
      </w:pPr>
      <w:r>
        <w:rPr>
          <w:rFonts w:hint="eastAsia" w:ascii="宋体" w:hAnsi="宋体" w:eastAsia="宋体" w:cstheme="minorEastAsia"/>
          <w:sz w:val="22"/>
          <w:szCs w:val="22"/>
        </w:rPr>
        <w:t>2020年</w:t>
      </w:r>
      <w:r>
        <w:rPr>
          <w:rFonts w:hint="eastAsia" w:ascii="宋体" w:hAnsi="宋体" w:eastAsia="宋体" w:cstheme="minorEastAsia"/>
          <w:sz w:val="22"/>
          <w:szCs w:val="22"/>
          <w:lang w:val="en-US" w:eastAsia="zh-CN"/>
        </w:rPr>
        <w:t>6</w:t>
      </w:r>
      <w:r>
        <w:rPr>
          <w:rFonts w:hint="eastAsia" w:ascii="宋体" w:hAnsi="宋体" w:eastAsia="宋体" w:cstheme="minorEastAsia"/>
          <w:sz w:val="22"/>
          <w:szCs w:val="22"/>
        </w:rPr>
        <w:t>月</w:t>
      </w:r>
      <w:r>
        <w:rPr>
          <w:rFonts w:hint="eastAsia" w:ascii="宋体" w:hAnsi="宋体" w:eastAsia="宋体" w:cs="宋体"/>
          <w:sz w:val="22"/>
          <w:szCs w:val="22"/>
          <w:lang w:val="en-US" w:eastAsia="zh-CN"/>
        </w:rPr>
        <w:t xml:space="preserve">2日                                                                                                                                                                                                                                                                                                                                                                                                                                                                                                                                                                                                                                                                                                                                                                                                                                                                                                                                                                                                                                                                                                                                                                                                                                                                                                                                                                                                                                                                                                                                                                                                                                                                                                                                                                                                                                                                                                                                                                                                                                                                                                                                                                                                                                                                                                                                                                                                                                                                                                                                                                                                                                                                                                                                                                                                                                                                             </w:t>
      </w: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pPr>
    </w:p>
    <w:p>
      <w:pPr>
        <w:jc w:val="right"/>
        <w:rPr>
          <w:rFonts w:ascii="宋体" w:hAnsi="宋体" w:eastAsia="宋体" w:cstheme="minorEastAsia"/>
          <w:sz w:val="22"/>
          <w:szCs w:val="22"/>
        </w:rPr>
        <w:sectPr>
          <w:pgSz w:w="11906" w:h="16838"/>
          <w:pgMar w:top="1440" w:right="1800" w:bottom="1440" w:left="1800" w:header="851" w:footer="992" w:gutter="0"/>
          <w:cols w:space="425" w:num="1"/>
          <w:docGrid w:type="lines" w:linePitch="312" w:charSpace="0"/>
        </w:sectPr>
      </w:pPr>
    </w:p>
    <w:p>
      <w:pPr>
        <w:jc w:val="right"/>
        <w:rPr>
          <w:rFonts w:ascii="宋体" w:hAnsi="宋体" w:eastAsia="宋体" w:cstheme="minorEastAsia"/>
          <w:sz w:val="22"/>
          <w:szCs w:val="22"/>
        </w:rPr>
      </w:pPr>
    </w:p>
    <w:p>
      <w:pPr>
        <w:jc w:val="right"/>
        <w:rPr>
          <w:rFonts w:hint="eastAsia" w:ascii="宋体" w:hAnsi="宋体" w:eastAsia="宋体" w:cstheme="minorEastAsia"/>
          <w:sz w:val="22"/>
          <w:szCs w:val="22"/>
        </w:rPr>
      </w:pPr>
    </w:p>
    <w:p>
      <w:pPr>
        <w:jc w:val="right"/>
        <w:rPr>
          <w:rFonts w:asciiTheme="minorEastAsia" w:hAnsiTheme="minorEastAsia" w:cstheme="minorEastAsia"/>
          <w:sz w:val="22"/>
          <w:szCs w:val="22"/>
        </w:rPr>
      </w:pPr>
    </w:p>
    <w:p>
      <w:pPr>
        <w:numPr>
          <w:ilvl w:val="0"/>
          <w:numId w:val="1"/>
        </w:numPr>
        <w:jc w:val="center"/>
        <w:outlineLvl w:val="0"/>
        <w:rPr>
          <w:rFonts w:hint="eastAsia" w:asciiTheme="majorEastAsia" w:hAnsiTheme="majorEastAsia" w:eastAsiaTheme="majorEastAsia" w:cstheme="majorEastAsia"/>
          <w:b/>
          <w:bCs/>
          <w:spacing w:val="36"/>
          <w:kern w:val="10"/>
          <w:sz w:val="44"/>
          <w:szCs w:val="44"/>
          <w:lang w:val="en-US" w:eastAsia="zh-CN"/>
        </w:rPr>
      </w:pPr>
      <w:bookmarkStart w:id="25" w:name="_Toc26798"/>
      <w:bookmarkStart w:id="26" w:name="_Toc5089"/>
      <w:bookmarkStart w:id="27" w:name="_Toc23865"/>
      <w:bookmarkStart w:id="28" w:name="_Toc13771"/>
      <w:bookmarkStart w:id="29" w:name="_Toc14391"/>
      <w:bookmarkStart w:id="30" w:name="_Toc26437"/>
      <w:bookmarkStart w:id="31" w:name="_Toc9241"/>
      <w:bookmarkStart w:id="32" w:name="_Toc5792"/>
      <w:bookmarkStart w:id="33" w:name="_Toc6859"/>
      <w:r>
        <w:rPr>
          <w:rFonts w:hint="eastAsia" w:asciiTheme="majorEastAsia" w:hAnsiTheme="majorEastAsia" w:eastAsiaTheme="majorEastAsia" w:cstheme="majorEastAsia"/>
          <w:b/>
          <w:bCs/>
          <w:spacing w:val="36"/>
          <w:kern w:val="10"/>
          <w:sz w:val="44"/>
          <w:szCs w:val="44"/>
          <w:lang w:val="en-US" w:eastAsia="zh-CN"/>
        </w:rPr>
        <w:t>参选须知</w:t>
      </w:r>
      <w:bookmarkEnd w:id="25"/>
      <w:bookmarkEnd w:id="26"/>
      <w:bookmarkEnd w:id="27"/>
      <w:bookmarkEnd w:id="28"/>
      <w:bookmarkEnd w:id="29"/>
      <w:bookmarkEnd w:id="30"/>
      <w:bookmarkEnd w:id="31"/>
      <w:bookmarkEnd w:id="32"/>
      <w:bookmarkEnd w:id="33"/>
    </w:p>
    <w:p>
      <w:pPr>
        <w:pStyle w:val="5"/>
        <w:snapToGrid w:val="0"/>
        <w:spacing w:before="0" w:after="0" w:line="560" w:lineRule="exact"/>
        <w:ind w:left="0" w:firstLine="482" w:firstLineChars="200"/>
        <w:outlineLvl w:val="1"/>
        <w:rPr>
          <w:rFonts w:ascii="宋体" w:hAnsi="宋体" w:eastAsia="宋体"/>
          <w:sz w:val="24"/>
        </w:rPr>
      </w:pPr>
      <w:bookmarkStart w:id="34" w:name="_Toc8071"/>
      <w:bookmarkStart w:id="35" w:name="_Toc402782167"/>
      <w:bookmarkStart w:id="36" w:name="_Toc197404904"/>
      <w:r>
        <w:rPr>
          <w:rFonts w:hint="eastAsia" w:asciiTheme="majorEastAsia" w:hAnsiTheme="majorEastAsia" w:eastAsiaTheme="majorEastAsia" w:cstheme="majorEastAsia"/>
          <w:bCs/>
          <w:sz w:val="24"/>
        </w:rPr>
        <w:t>一、参选文件不予受理的情形（由评选委员会负责判定）</w:t>
      </w:r>
      <w:bookmarkEnd w:id="34"/>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1.参选文件在规定的截止时间以后送达或者未送达至指定地点的；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 xml:space="preserve">2.在招投标（询价）活动（包括在深圳地铁项目）中因串通投标（报价）被暂停投标（报价）资格期间；或涉嫌串通投标（报价）并正在接受主管部门调查的；或三年内在地铁集团或其下属单位有不良行为记录的。 </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3.已被比选人列为不良诚信行为名录的参选银行，其参选文件不予接受；</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4.拟派团队成员曾被主管部门处罚的，其参选文件不予接受。</w:t>
      </w:r>
    </w:p>
    <w:p>
      <w:pPr>
        <w:spacing w:line="560" w:lineRule="exact"/>
        <w:ind w:firstLine="482" w:firstLineChars="200"/>
        <w:outlineLvl w:val="1"/>
        <w:rPr>
          <w:rFonts w:ascii="宋体" w:hAnsi="宋体"/>
          <w:b/>
          <w:sz w:val="24"/>
        </w:rPr>
      </w:pPr>
      <w:bookmarkStart w:id="37" w:name="_Toc27187"/>
      <w:r>
        <w:rPr>
          <w:rFonts w:hint="eastAsia" w:asciiTheme="majorEastAsia" w:hAnsiTheme="majorEastAsia" w:eastAsiaTheme="majorEastAsia" w:cstheme="majorEastAsia"/>
          <w:b/>
          <w:bCs/>
          <w:kern w:val="0"/>
          <w:sz w:val="24"/>
        </w:rPr>
        <w:t>二、参选文件有下列情形之一的，评审不合格，应作无效标处理（由评选委员会负责判定）</w:t>
      </w:r>
      <w:bookmarkEnd w:id="37"/>
    </w:p>
    <w:p>
      <w:pPr>
        <w:pStyle w:val="7"/>
        <w:snapToGrid w:val="0"/>
        <w:spacing w:line="360" w:lineRule="auto"/>
        <w:ind w:firstLine="440" w:firstLineChars="200"/>
        <w:rPr>
          <w:rFonts w:hAnsi="宋体"/>
          <w:snapToGrid w:val="0"/>
          <w:sz w:val="22"/>
          <w:szCs w:val="22"/>
        </w:rPr>
      </w:pPr>
      <w:r>
        <w:rPr>
          <w:rFonts w:hAnsi="宋体"/>
          <w:snapToGrid w:val="0"/>
          <w:sz w:val="22"/>
          <w:szCs w:val="22"/>
        </w:rPr>
        <w:t>1.</w:t>
      </w:r>
      <w:r>
        <w:rPr>
          <w:rFonts w:hint="eastAsia" w:hAnsi="宋体"/>
          <w:snapToGrid w:val="0"/>
          <w:sz w:val="22"/>
          <w:szCs w:val="22"/>
        </w:rPr>
        <w:t>参选文件未经法定代表人或其委托代理人签字的；由委托代理人签字但未随参选文件一起提供法人授权委托证明书原件或未附相关有效身份证件复印件的。</w:t>
      </w:r>
    </w:p>
    <w:p>
      <w:pPr>
        <w:pStyle w:val="7"/>
        <w:snapToGrid w:val="0"/>
        <w:spacing w:line="360" w:lineRule="auto"/>
        <w:ind w:firstLine="440" w:firstLineChars="200"/>
        <w:rPr>
          <w:rFonts w:hAnsi="宋体"/>
          <w:snapToGrid w:val="0"/>
          <w:sz w:val="22"/>
          <w:szCs w:val="22"/>
        </w:rPr>
      </w:pPr>
      <w:r>
        <w:rPr>
          <w:rFonts w:hAnsi="宋体"/>
          <w:snapToGrid w:val="0"/>
          <w:sz w:val="22"/>
          <w:szCs w:val="22"/>
        </w:rPr>
        <w:t>2.</w:t>
      </w:r>
      <w:r>
        <w:rPr>
          <w:rFonts w:hint="eastAsia" w:hAnsi="宋体"/>
          <w:snapToGrid w:val="0"/>
          <w:sz w:val="22"/>
          <w:szCs w:val="22"/>
        </w:rPr>
        <w:t>经审核无竞标资格的参选单位所递交的参选文件。</w:t>
      </w:r>
    </w:p>
    <w:p>
      <w:pPr>
        <w:pStyle w:val="7"/>
        <w:snapToGrid w:val="0"/>
        <w:spacing w:line="360" w:lineRule="auto"/>
        <w:ind w:firstLine="440" w:firstLineChars="200"/>
        <w:rPr>
          <w:rFonts w:hAnsi="宋体"/>
          <w:snapToGrid w:val="0"/>
          <w:sz w:val="22"/>
          <w:szCs w:val="22"/>
        </w:rPr>
      </w:pPr>
      <w:r>
        <w:rPr>
          <w:rFonts w:hAnsi="宋体"/>
          <w:snapToGrid w:val="0"/>
          <w:sz w:val="22"/>
          <w:szCs w:val="22"/>
        </w:rPr>
        <w:t>3.</w:t>
      </w:r>
      <w:r>
        <w:rPr>
          <w:rFonts w:hint="eastAsia" w:hAnsi="宋体"/>
          <w:snapToGrid w:val="0"/>
          <w:sz w:val="22"/>
          <w:szCs w:val="22"/>
        </w:rPr>
        <w:t>未按照比选人格式要求出具的《承诺函》。</w:t>
      </w:r>
    </w:p>
    <w:p>
      <w:pPr>
        <w:pStyle w:val="7"/>
        <w:snapToGrid w:val="0"/>
        <w:spacing w:line="360" w:lineRule="auto"/>
        <w:ind w:firstLine="440" w:firstLineChars="200"/>
        <w:rPr>
          <w:rFonts w:hAnsi="宋体"/>
          <w:snapToGrid w:val="0"/>
          <w:sz w:val="22"/>
          <w:szCs w:val="22"/>
        </w:rPr>
      </w:pPr>
      <w:r>
        <w:rPr>
          <w:rFonts w:hAnsi="宋体"/>
          <w:snapToGrid w:val="0"/>
          <w:sz w:val="22"/>
          <w:szCs w:val="22"/>
        </w:rPr>
        <w:t>4.</w:t>
      </w:r>
      <w:r>
        <w:rPr>
          <w:rFonts w:hint="eastAsia" w:hAnsi="宋体"/>
          <w:snapToGrid w:val="0"/>
          <w:sz w:val="22"/>
          <w:szCs w:val="22"/>
        </w:rPr>
        <w:t>未完成或部分完成的参选文件。</w:t>
      </w:r>
    </w:p>
    <w:p>
      <w:pPr>
        <w:pStyle w:val="7"/>
        <w:snapToGrid w:val="0"/>
        <w:spacing w:line="360" w:lineRule="auto"/>
        <w:ind w:firstLine="440" w:firstLineChars="200"/>
        <w:rPr>
          <w:rFonts w:hAnsi="宋体"/>
          <w:snapToGrid w:val="0"/>
          <w:sz w:val="22"/>
          <w:szCs w:val="22"/>
        </w:rPr>
      </w:pPr>
      <w:r>
        <w:rPr>
          <w:rFonts w:hAnsi="宋体"/>
          <w:snapToGrid w:val="0"/>
          <w:sz w:val="22"/>
          <w:szCs w:val="22"/>
        </w:rPr>
        <w:t>5.</w:t>
      </w:r>
      <w:r>
        <w:rPr>
          <w:rFonts w:hint="eastAsia" w:hAnsi="宋体"/>
          <w:snapToGrid w:val="0"/>
          <w:sz w:val="22"/>
          <w:szCs w:val="22"/>
        </w:rPr>
        <w:t>曾在比选人的比选项目中有不良记录的参选银行的参选文件。</w:t>
      </w:r>
    </w:p>
    <w:p>
      <w:pPr>
        <w:pStyle w:val="3"/>
        <w:keepNext/>
        <w:keepLines/>
        <w:pageBreakBefore w:val="0"/>
        <w:widowControl w:val="0"/>
        <w:kinsoku/>
        <w:wordWrap/>
        <w:overflowPunct/>
        <w:topLinePunct w:val="0"/>
        <w:autoSpaceDE/>
        <w:autoSpaceDN/>
        <w:bidi w:val="0"/>
        <w:adjustRightInd w:val="0"/>
        <w:snapToGrid/>
        <w:spacing w:line="240" w:lineRule="auto"/>
        <w:ind w:firstLine="482" w:firstLineChars="200"/>
        <w:jc w:val="left"/>
        <w:textAlignment w:val="auto"/>
        <w:rPr>
          <w:rFonts w:hint="eastAsia" w:asciiTheme="majorEastAsia" w:hAnsiTheme="majorEastAsia" w:eastAsiaTheme="majorEastAsia" w:cstheme="majorEastAsia"/>
          <w:b/>
          <w:bCs/>
          <w:sz w:val="24"/>
        </w:rPr>
      </w:pPr>
      <w:bookmarkStart w:id="38" w:name="_Toc16987"/>
      <w:r>
        <w:rPr>
          <w:rFonts w:hint="eastAsia" w:asciiTheme="majorEastAsia" w:hAnsiTheme="majorEastAsia" w:eastAsiaTheme="majorEastAsia" w:cstheme="majorEastAsia"/>
          <w:b/>
          <w:bCs/>
          <w:sz w:val="24"/>
        </w:rPr>
        <w:t>三、参选文件存在下列情形的，应作废标处理</w:t>
      </w:r>
      <w:bookmarkEnd w:id="38"/>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1.参选文件未按规定密封和加盖参选银行公章的。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2.参选截止日期以后送达的参选文件。</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3</w:t>
      </w:r>
      <w:r>
        <w:rPr>
          <w:rFonts w:hAnsi="宋体"/>
          <w:snapToGrid w:val="0"/>
          <w:sz w:val="22"/>
          <w:szCs w:val="22"/>
        </w:rPr>
        <w:t>.</w:t>
      </w:r>
      <w:r>
        <w:rPr>
          <w:rFonts w:hint="eastAsia" w:hAnsi="宋体"/>
          <w:snapToGrid w:val="0"/>
          <w:sz w:val="22"/>
          <w:szCs w:val="22"/>
        </w:rPr>
        <w:t>参选银行对自身基本情况、业务能力存在虚报、夸大的情况。</w:t>
      </w:r>
    </w:p>
    <w:p>
      <w:pPr>
        <w:ind w:firstLine="440" w:firstLineChars="200"/>
        <w:rPr>
          <w:rFonts w:hAnsi="宋体"/>
          <w:snapToGrid w:val="0"/>
          <w:sz w:val="22"/>
          <w:szCs w:val="22"/>
        </w:rPr>
      </w:pPr>
      <w:r>
        <w:rPr>
          <w:rFonts w:hint="eastAsia" w:ascii="宋体" w:hAnsi="宋体"/>
          <w:snapToGrid w:val="0"/>
          <w:kern w:val="0"/>
          <w:sz w:val="22"/>
          <w:szCs w:val="22"/>
        </w:rPr>
        <w:t>4</w:t>
      </w:r>
      <w:r>
        <w:rPr>
          <w:rFonts w:ascii="宋体" w:hAnsi="宋体"/>
          <w:snapToGrid w:val="0"/>
          <w:kern w:val="0"/>
          <w:sz w:val="22"/>
          <w:szCs w:val="22"/>
        </w:rPr>
        <w:t>.</w:t>
      </w:r>
      <w:r>
        <w:rPr>
          <w:rFonts w:hint="eastAsia" w:ascii="宋体" w:hAnsi="宋体"/>
          <w:snapToGrid w:val="0"/>
          <w:kern w:val="0"/>
          <w:sz w:val="22"/>
          <w:szCs w:val="22"/>
        </w:rPr>
        <w:t>参选银行递交两份或多份内容不同的参选文件，或在一份参选文件中对同一项目报有两个或多个报价，且未声明哪一个有效的。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5.参选银行以他人的名义参选或出现串通参选、弄虚作假情形的。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6.参选银行拒不按照评选委员会要求对参选文件进行澄清、说明、补正的。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7.参选文件不满足比选文件规定的任何一项要求的。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8.比选人根据比选文件的规定对参选文件的价格进行调整，参选银行不接受调整方式的，或不接受调整后的价格的。</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9.违反国家有关法律、法规和有关要求的。</w:t>
      </w:r>
    </w:p>
    <w:p>
      <w:pPr>
        <w:pStyle w:val="3"/>
        <w:spacing w:before="156" w:beforeLines="50" w:line="240" w:lineRule="auto"/>
        <w:ind w:firstLine="472" w:firstLineChars="196"/>
        <w:jc w:val="left"/>
        <w:rPr>
          <w:rFonts w:hint="eastAsia" w:asciiTheme="majorEastAsia" w:hAnsiTheme="majorEastAsia" w:eastAsiaTheme="majorEastAsia" w:cstheme="majorEastAsia"/>
          <w:b/>
          <w:bCs/>
          <w:kern w:val="0"/>
          <w:sz w:val="24"/>
        </w:rPr>
      </w:pPr>
      <w:bookmarkStart w:id="39" w:name="_Toc8352"/>
      <w:bookmarkStart w:id="40" w:name="_Toc27470"/>
      <w:bookmarkStart w:id="41" w:name="_Toc23596"/>
      <w:bookmarkStart w:id="42" w:name="_Toc11028"/>
      <w:bookmarkStart w:id="43" w:name="_Toc21162"/>
      <w:bookmarkStart w:id="44" w:name="_Toc2701"/>
      <w:bookmarkStart w:id="45" w:name="_Toc7600"/>
      <w:bookmarkStart w:id="46" w:name="_Toc24350"/>
      <w:bookmarkStart w:id="47" w:name="_Toc3121"/>
      <w:r>
        <w:rPr>
          <w:rFonts w:hint="eastAsia" w:asciiTheme="majorEastAsia" w:hAnsiTheme="majorEastAsia" w:eastAsiaTheme="majorEastAsia" w:cstheme="majorEastAsia"/>
          <w:b/>
          <w:bCs/>
          <w:kern w:val="0"/>
          <w:sz w:val="24"/>
        </w:rPr>
        <w:t>四、无效参选文件和作废参选文件的处理</w:t>
      </w:r>
      <w:bookmarkEnd w:id="39"/>
      <w:bookmarkEnd w:id="40"/>
      <w:bookmarkEnd w:id="41"/>
      <w:bookmarkEnd w:id="42"/>
      <w:bookmarkEnd w:id="43"/>
      <w:bookmarkEnd w:id="44"/>
      <w:bookmarkEnd w:id="45"/>
      <w:bookmarkEnd w:id="46"/>
      <w:bookmarkEnd w:id="47"/>
    </w:p>
    <w:p>
      <w:pPr>
        <w:pStyle w:val="7"/>
        <w:spacing w:line="360" w:lineRule="auto"/>
        <w:ind w:firstLine="440" w:firstLineChars="200"/>
        <w:rPr>
          <w:rFonts w:hAnsi="宋体"/>
          <w:snapToGrid w:val="0"/>
          <w:sz w:val="22"/>
          <w:szCs w:val="22"/>
        </w:rPr>
      </w:pPr>
      <w:r>
        <w:rPr>
          <w:rFonts w:hint="eastAsia" w:hAnsi="宋体"/>
          <w:snapToGrid w:val="0"/>
          <w:sz w:val="22"/>
          <w:szCs w:val="22"/>
        </w:rPr>
        <w:t>1.除参选须知中规定的情形外，评选委员会对参选文件的认定应保持谨慎性原则。</w:t>
      </w:r>
    </w:p>
    <w:p>
      <w:pPr>
        <w:pStyle w:val="7"/>
        <w:spacing w:line="360" w:lineRule="auto"/>
        <w:ind w:firstLine="440" w:firstLineChars="200"/>
        <w:rPr>
          <w:rFonts w:hAnsi="宋体"/>
          <w:snapToGrid w:val="0"/>
          <w:sz w:val="22"/>
          <w:szCs w:val="22"/>
        </w:rPr>
      </w:pPr>
      <w:r>
        <w:rPr>
          <w:rFonts w:hint="eastAsia" w:hAnsi="宋体"/>
          <w:snapToGrid w:val="0"/>
          <w:sz w:val="22"/>
          <w:szCs w:val="22"/>
        </w:rPr>
        <w:t>2.评选委员会在做出任何一项无效比选文件和作废比选文件决定之前，都应严格遵循以下程序：</w:t>
      </w:r>
    </w:p>
    <w:p>
      <w:pPr>
        <w:pStyle w:val="7"/>
        <w:spacing w:line="360" w:lineRule="auto"/>
        <w:ind w:firstLine="440" w:firstLineChars="200"/>
        <w:rPr>
          <w:rFonts w:hAnsi="宋体"/>
          <w:snapToGrid w:val="0"/>
          <w:sz w:val="22"/>
          <w:szCs w:val="22"/>
        </w:rPr>
      </w:pPr>
      <w:r>
        <w:rPr>
          <w:rFonts w:hint="eastAsia" w:hAnsi="宋体"/>
          <w:snapToGrid w:val="0"/>
          <w:sz w:val="22"/>
          <w:szCs w:val="22"/>
        </w:rPr>
        <w:t>（1）评选委员会可要求当事参选银行作相应的答辩。</w:t>
      </w:r>
    </w:p>
    <w:p>
      <w:pPr>
        <w:pStyle w:val="7"/>
        <w:spacing w:line="360" w:lineRule="auto"/>
        <w:ind w:firstLine="440" w:firstLineChars="200"/>
        <w:rPr>
          <w:rFonts w:hAnsi="宋体"/>
          <w:snapToGrid w:val="0"/>
          <w:sz w:val="22"/>
          <w:szCs w:val="22"/>
        </w:rPr>
      </w:pPr>
      <w:r>
        <w:rPr>
          <w:rFonts w:hint="eastAsia" w:hAnsi="宋体"/>
          <w:snapToGrid w:val="0"/>
          <w:sz w:val="22"/>
          <w:szCs w:val="22"/>
        </w:rPr>
        <w:t>（2）评选委员会将决定送达至当事参选银行进行签字确认或电话通知。</w:t>
      </w:r>
    </w:p>
    <w:p>
      <w:pPr>
        <w:pStyle w:val="7"/>
        <w:spacing w:line="360" w:lineRule="auto"/>
        <w:ind w:firstLine="440" w:firstLineChars="200"/>
        <w:rPr>
          <w:rFonts w:hAnsi="宋体"/>
          <w:snapToGrid w:val="0"/>
          <w:sz w:val="22"/>
          <w:szCs w:val="22"/>
        </w:rPr>
      </w:pPr>
      <w:r>
        <w:rPr>
          <w:rFonts w:hint="eastAsia" w:hAnsi="宋体"/>
          <w:snapToGrid w:val="0"/>
          <w:sz w:val="22"/>
          <w:szCs w:val="22"/>
        </w:rPr>
        <w:t>（3）评选委员会应在充分讨论的基础上，通过记名的集体表决方式做出决定。</w:t>
      </w:r>
    </w:p>
    <w:p>
      <w:pPr>
        <w:pStyle w:val="7"/>
        <w:spacing w:line="360" w:lineRule="auto"/>
        <w:ind w:firstLine="440" w:firstLineChars="200"/>
        <w:rPr>
          <w:rFonts w:hAnsi="宋体"/>
          <w:snapToGrid w:val="0"/>
          <w:sz w:val="22"/>
          <w:szCs w:val="22"/>
        </w:rPr>
      </w:pPr>
      <w:r>
        <w:rPr>
          <w:rFonts w:hint="eastAsia" w:hAnsi="宋体"/>
          <w:snapToGrid w:val="0"/>
          <w:sz w:val="22"/>
          <w:szCs w:val="22"/>
        </w:rPr>
        <w:t xml:space="preserve">（4）如果评选委员会通过表决做出无效标或废标的决定，应在《评选报告》中详细记录做出无效标或废标的理由、依据和评选委员会表决的过程和结论。《评选报告》由评选委员会全体成员签字确认。       </w:t>
      </w:r>
    </w:p>
    <w:p>
      <w:pPr>
        <w:pStyle w:val="7"/>
        <w:spacing w:line="360" w:lineRule="auto"/>
        <w:ind w:firstLine="440" w:firstLineChars="200"/>
        <w:rPr>
          <w:rFonts w:hint="eastAsia" w:hAnsi="宋体"/>
          <w:snapToGrid w:val="0"/>
          <w:sz w:val="22"/>
          <w:szCs w:val="22"/>
        </w:rPr>
      </w:pPr>
      <w:r>
        <w:rPr>
          <w:rFonts w:hint="eastAsia" w:hAnsi="宋体"/>
          <w:snapToGrid w:val="0"/>
          <w:sz w:val="22"/>
          <w:szCs w:val="22"/>
        </w:rPr>
        <w:t>若评选委员会成员对表决结论持有异议，可以书面方式阐述其不同意见和理由；如果该成员拒绝在《评选报告》上签字，又不陈述其不同意见和理由的，视为同意表决结论。</w:t>
      </w:r>
    </w:p>
    <w:p>
      <w:pPr>
        <w:pStyle w:val="3"/>
        <w:spacing w:before="156" w:beforeLines="50" w:line="240" w:lineRule="auto"/>
        <w:ind w:firstLine="472" w:firstLineChars="196"/>
        <w:jc w:val="left"/>
        <w:rPr>
          <w:rFonts w:hint="eastAsia" w:asciiTheme="majorEastAsia" w:hAnsiTheme="majorEastAsia" w:eastAsiaTheme="majorEastAsia" w:cstheme="majorEastAsia"/>
          <w:b/>
          <w:bCs/>
          <w:kern w:val="0"/>
          <w:sz w:val="24"/>
        </w:rPr>
      </w:pPr>
      <w:bookmarkStart w:id="48" w:name="_Toc5223"/>
      <w:bookmarkStart w:id="49" w:name="_Toc38892311"/>
      <w:r>
        <w:rPr>
          <w:rFonts w:hint="eastAsia" w:asciiTheme="majorEastAsia" w:hAnsiTheme="majorEastAsia" w:eastAsiaTheme="majorEastAsia" w:cstheme="majorEastAsia"/>
          <w:b/>
          <w:bCs/>
          <w:kern w:val="0"/>
          <w:sz w:val="24"/>
          <w:lang w:val="en-US" w:eastAsia="zh-CN"/>
        </w:rPr>
        <w:t>五</w:t>
      </w:r>
      <w:r>
        <w:rPr>
          <w:rFonts w:hint="eastAsia" w:asciiTheme="majorEastAsia" w:hAnsiTheme="majorEastAsia" w:eastAsiaTheme="majorEastAsia" w:cstheme="majorEastAsia"/>
          <w:b/>
          <w:bCs/>
          <w:kern w:val="0"/>
          <w:sz w:val="24"/>
        </w:rPr>
        <w:t>、比选文件的补遗、澄清、修改</w:t>
      </w:r>
      <w:bookmarkEnd w:id="48"/>
      <w:bookmarkEnd w:id="49"/>
    </w:p>
    <w:p>
      <w:pPr>
        <w:spacing w:line="480" w:lineRule="atLeast"/>
        <w:ind w:firstLine="440" w:firstLineChars="200"/>
        <w:rPr>
          <w:rFonts w:hint="eastAsia" w:ascii="宋体" w:hAnsi="宋体" w:eastAsia="宋体" w:cs="宋体"/>
          <w:sz w:val="22"/>
          <w:szCs w:val="22"/>
        </w:rPr>
      </w:pPr>
      <w:r>
        <w:rPr>
          <w:rFonts w:hint="eastAsia" w:ascii="宋体" w:hAnsi="宋体" w:eastAsia="宋体" w:cs="宋体"/>
          <w:sz w:val="22"/>
          <w:szCs w:val="22"/>
        </w:rPr>
        <w:t>（一）参选人若对比选文件有疑问，需要比选人予以澄清，</w:t>
      </w:r>
      <w:r>
        <w:rPr>
          <w:rFonts w:hint="eastAsia" w:ascii="宋体" w:hAnsi="宋体" w:eastAsia="宋体" w:cs="宋体"/>
          <w:kern w:val="0"/>
          <w:sz w:val="22"/>
          <w:szCs w:val="22"/>
        </w:rPr>
        <w:t>应于</w:t>
      </w:r>
      <w:r>
        <w:rPr>
          <w:rFonts w:hint="eastAsia" w:ascii="宋体" w:hAnsi="宋体" w:eastAsia="宋体" w:cs="宋体"/>
          <w:b/>
          <w:kern w:val="0"/>
          <w:sz w:val="22"/>
          <w:szCs w:val="22"/>
          <w:u w:val="single"/>
        </w:rPr>
        <w:t>参选截止日</w:t>
      </w:r>
      <w:r>
        <w:rPr>
          <w:rFonts w:hint="eastAsia" w:ascii="宋体" w:hAnsi="宋体" w:eastAsia="宋体" w:cs="宋体"/>
          <w:b/>
          <w:sz w:val="22"/>
          <w:szCs w:val="22"/>
          <w:u w:val="single"/>
          <w:lang w:val="en-US" w:eastAsia="zh-CN"/>
        </w:rPr>
        <w:t>3</w:t>
      </w:r>
      <w:r>
        <w:rPr>
          <w:rFonts w:hint="eastAsia" w:ascii="宋体" w:hAnsi="宋体" w:eastAsia="宋体" w:cs="宋体"/>
          <w:b/>
          <w:sz w:val="22"/>
          <w:szCs w:val="22"/>
          <w:u w:val="single"/>
        </w:rPr>
        <w:t>日前</w:t>
      </w:r>
      <w:r>
        <w:rPr>
          <w:rFonts w:hint="eastAsia" w:ascii="宋体" w:hAnsi="宋体" w:eastAsia="宋体" w:cs="宋体"/>
          <w:sz w:val="22"/>
          <w:szCs w:val="22"/>
        </w:rPr>
        <w:t>以书面形式向比选人提出，送至</w:t>
      </w:r>
      <w:r>
        <w:rPr>
          <w:rFonts w:hint="eastAsia" w:ascii="宋体" w:hAnsi="宋体" w:eastAsia="宋体" w:cs="宋体"/>
          <w:sz w:val="22"/>
          <w:szCs w:val="22"/>
          <w:lang w:val="en-US" w:eastAsia="zh-CN"/>
        </w:rPr>
        <w:t>比选公告</w:t>
      </w:r>
      <w:r>
        <w:rPr>
          <w:rFonts w:hint="eastAsia" w:ascii="宋体" w:hAnsi="宋体" w:eastAsia="宋体" w:cs="宋体"/>
          <w:sz w:val="22"/>
          <w:szCs w:val="22"/>
        </w:rPr>
        <w:t>“</w:t>
      </w:r>
      <w:r>
        <w:rPr>
          <w:rFonts w:hint="eastAsia" w:ascii="宋体" w:hAnsi="宋体" w:eastAsia="宋体" w:cs="宋体"/>
          <w:sz w:val="22"/>
          <w:szCs w:val="22"/>
          <w:lang w:val="en-US" w:eastAsia="zh-CN"/>
        </w:rPr>
        <w:t>参选文件的递交及评审</w:t>
      </w:r>
      <w:r>
        <w:rPr>
          <w:rFonts w:hint="eastAsia" w:ascii="宋体" w:hAnsi="宋体" w:eastAsia="宋体" w:cs="宋体"/>
          <w:sz w:val="22"/>
          <w:szCs w:val="22"/>
        </w:rPr>
        <w:t>”中写明的比选人地址。不论是比选人根据需要主动对比选文件进行必要的澄清或是根据参选人的要求对比选文件做出澄清，比选人的补遗文件都将在</w:t>
      </w:r>
      <w:r>
        <w:rPr>
          <w:rFonts w:hint="eastAsia" w:ascii="宋体" w:hAnsi="宋体" w:eastAsia="宋体" w:cs="宋体"/>
          <w:b/>
          <w:kern w:val="0"/>
          <w:sz w:val="22"/>
          <w:szCs w:val="22"/>
          <w:u w:val="single"/>
        </w:rPr>
        <w:t>参选截止日</w:t>
      </w:r>
      <w:r>
        <w:rPr>
          <w:rFonts w:hint="eastAsia" w:ascii="宋体" w:hAnsi="宋体" w:eastAsia="宋体" w:cs="宋体"/>
          <w:b/>
          <w:kern w:val="0"/>
          <w:sz w:val="22"/>
          <w:szCs w:val="22"/>
          <w:u w:val="single"/>
          <w:lang w:val="en-US" w:eastAsia="zh-CN"/>
        </w:rPr>
        <w:t>3</w:t>
      </w:r>
      <w:r>
        <w:rPr>
          <w:rFonts w:hint="eastAsia" w:ascii="宋体" w:hAnsi="宋体" w:eastAsia="宋体" w:cs="宋体"/>
          <w:b/>
          <w:kern w:val="0"/>
          <w:sz w:val="22"/>
          <w:szCs w:val="22"/>
          <w:u w:val="single"/>
        </w:rPr>
        <w:t>日前通</w:t>
      </w:r>
      <w:r>
        <w:rPr>
          <w:rFonts w:hint="eastAsia" w:ascii="宋体" w:hAnsi="宋体" w:eastAsia="宋体" w:cs="宋体"/>
          <w:sz w:val="22"/>
          <w:szCs w:val="22"/>
        </w:rPr>
        <w:t>过“深圳地铁官网”、国资委阳光采购平台向所有银行公示。参选人应随时查看“深圳地铁官网”、“国资委阳光采购平台”中有关该项目补遗文件的信息。否则，由此导致的不利后果由银行自负。比选文件的补遗作为比选文件的组成部分，具有约束力。</w:t>
      </w:r>
    </w:p>
    <w:p>
      <w:pPr>
        <w:spacing w:line="480" w:lineRule="atLeast"/>
        <w:ind w:firstLine="440" w:firstLineChars="200"/>
        <w:rPr>
          <w:rFonts w:hint="eastAsia" w:ascii="宋体" w:hAnsi="宋体" w:eastAsia="宋体" w:cs="宋体"/>
          <w:sz w:val="22"/>
          <w:szCs w:val="22"/>
        </w:rPr>
      </w:pPr>
      <w:r>
        <w:rPr>
          <w:rFonts w:hint="eastAsia" w:ascii="宋体" w:hAnsi="宋体" w:eastAsia="宋体" w:cs="宋体"/>
          <w:sz w:val="22"/>
          <w:szCs w:val="22"/>
        </w:rPr>
        <w:t>（二）比选人对在</w:t>
      </w:r>
      <w:r>
        <w:rPr>
          <w:rFonts w:hint="eastAsia" w:ascii="宋体" w:hAnsi="宋体" w:eastAsia="宋体" w:cs="宋体"/>
          <w:b/>
          <w:kern w:val="0"/>
          <w:sz w:val="22"/>
          <w:szCs w:val="22"/>
          <w:u w:val="single"/>
        </w:rPr>
        <w:t>参选截止日</w:t>
      </w:r>
      <w:r>
        <w:rPr>
          <w:rFonts w:hint="eastAsia" w:ascii="宋体" w:hAnsi="宋体" w:eastAsia="宋体" w:cs="宋体"/>
          <w:b/>
          <w:sz w:val="22"/>
          <w:szCs w:val="22"/>
          <w:u w:val="single"/>
          <w:lang w:val="en-US" w:eastAsia="zh-CN"/>
        </w:rPr>
        <w:t>3</w:t>
      </w:r>
      <w:r>
        <w:rPr>
          <w:rFonts w:hint="eastAsia" w:ascii="宋体" w:hAnsi="宋体" w:eastAsia="宋体" w:cs="宋体"/>
          <w:b/>
          <w:sz w:val="22"/>
          <w:szCs w:val="22"/>
          <w:u w:val="single"/>
        </w:rPr>
        <w:t>日</w:t>
      </w:r>
      <w:r>
        <w:rPr>
          <w:rFonts w:hint="eastAsia" w:ascii="宋体" w:hAnsi="宋体" w:eastAsia="宋体" w:cs="宋体"/>
          <w:b/>
          <w:kern w:val="0"/>
          <w:sz w:val="22"/>
          <w:szCs w:val="22"/>
          <w:u w:val="single"/>
        </w:rPr>
        <w:t>前</w:t>
      </w:r>
      <w:r>
        <w:rPr>
          <w:rFonts w:hint="eastAsia" w:ascii="宋体" w:hAnsi="宋体" w:eastAsia="宋体" w:cs="宋体"/>
          <w:sz w:val="22"/>
          <w:szCs w:val="22"/>
        </w:rPr>
        <w:t>收到的以书面函件的方式要求澄清的问题，将视具体情况进行澄清，比选人的澄清将通过“深圳地铁官网”、国资委阳光采购平台向所有银行公示。如比选人认为参选人所提出的问题已在比选文件中明确说明，或可以根据比选文件做出明确的推断，比选人将不再予以澄清。</w:t>
      </w:r>
    </w:p>
    <w:p>
      <w:pPr>
        <w:spacing w:line="480" w:lineRule="atLeast"/>
        <w:rPr>
          <w:rFonts w:hint="eastAsia" w:ascii="宋体" w:hAnsi="宋体" w:eastAsia="宋体" w:cs="宋体"/>
          <w:sz w:val="22"/>
          <w:szCs w:val="22"/>
        </w:rPr>
      </w:pPr>
      <w:r>
        <w:rPr>
          <w:rFonts w:hint="eastAsia" w:ascii="宋体" w:hAnsi="宋体" w:eastAsia="宋体" w:cs="宋体"/>
          <w:sz w:val="22"/>
          <w:szCs w:val="22"/>
        </w:rPr>
        <w:t xml:space="preserve">    （三）比选文件发出后，在</w:t>
      </w:r>
      <w:r>
        <w:rPr>
          <w:rFonts w:hint="eastAsia" w:ascii="宋体" w:hAnsi="宋体" w:eastAsia="宋体" w:cs="宋体"/>
          <w:b/>
          <w:kern w:val="0"/>
          <w:sz w:val="22"/>
          <w:szCs w:val="22"/>
          <w:u w:val="single"/>
        </w:rPr>
        <w:t>参选截止日</w:t>
      </w:r>
      <w:r>
        <w:rPr>
          <w:rFonts w:hint="eastAsia" w:ascii="宋体" w:hAnsi="宋体" w:eastAsia="宋体" w:cs="宋体"/>
          <w:b/>
          <w:kern w:val="0"/>
          <w:sz w:val="22"/>
          <w:szCs w:val="22"/>
          <w:u w:val="single"/>
          <w:lang w:val="en-US" w:eastAsia="zh-CN"/>
        </w:rPr>
        <w:t>3</w:t>
      </w:r>
      <w:r>
        <w:rPr>
          <w:rFonts w:hint="eastAsia" w:ascii="宋体" w:hAnsi="宋体" w:eastAsia="宋体" w:cs="宋体"/>
          <w:b/>
          <w:kern w:val="0"/>
          <w:sz w:val="22"/>
          <w:szCs w:val="22"/>
          <w:u w:val="single"/>
        </w:rPr>
        <w:t>日前</w:t>
      </w:r>
      <w:r>
        <w:rPr>
          <w:rFonts w:hint="eastAsia" w:ascii="宋体" w:hAnsi="宋体" w:eastAsia="宋体" w:cs="宋体"/>
          <w:sz w:val="22"/>
          <w:szCs w:val="22"/>
        </w:rPr>
        <w:t>的任何时候，确需要变更比选文件内容的，比选人可主动或在解答参选人提出的澄清问题时对比选文件进行修改。</w:t>
      </w:r>
    </w:p>
    <w:p>
      <w:pPr>
        <w:spacing w:line="480" w:lineRule="atLeast"/>
        <w:rPr>
          <w:rFonts w:hint="eastAsia" w:ascii="宋体" w:hAnsi="宋体" w:eastAsia="宋体" w:cs="宋体"/>
          <w:sz w:val="22"/>
          <w:szCs w:val="22"/>
        </w:rPr>
      </w:pPr>
      <w:r>
        <w:rPr>
          <w:rFonts w:hint="eastAsia" w:ascii="宋体" w:hAnsi="宋体" w:eastAsia="宋体" w:cs="宋体"/>
          <w:sz w:val="22"/>
          <w:szCs w:val="22"/>
        </w:rPr>
        <w:t xml:space="preserve">    （四）比选文件、比选文件补遗、澄清(答疑)、澄清(答疑)会议纪要、修改(补充)函件内容均以书面明确的内容为准。当比选文件、补遗、澄清(答疑)、纪要、修改(补充)函件内容相互矛盾时，以最后发出的为准。</w:t>
      </w:r>
    </w:p>
    <w:p>
      <w:pPr>
        <w:spacing w:line="480" w:lineRule="atLeast"/>
        <w:ind w:firstLine="480"/>
        <w:rPr>
          <w:rFonts w:hint="eastAsia" w:ascii="宋体" w:hAnsi="宋体" w:eastAsia="宋体" w:cs="宋体"/>
          <w:b/>
          <w:bCs/>
          <w:sz w:val="22"/>
          <w:szCs w:val="22"/>
        </w:rPr>
      </w:pPr>
      <w:r>
        <w:rPr>
          <w:rFonts w:hint="eastAsia" w:ascii="宋体" w:hAnsi="宋体" w:eastAsia="宋体" w:cs="宋体"/>
          <w:sz w:val="22"/>
          <w:szCs w:val="22"/>
        </w:rPr>
        <w:t>（五）为使参选人在编写参选文件时有充分时间对比选文件的补遗、修改（补充）部分进行研究，比选人有权适当延长递交参选文件的截止日期。</w:t>
      </w:r>
    </w:p>
    <w:p>
      <w:pPr>
        <w:pStyle w:val="7"/>
        <w:spacing w:line="360" w:lineRule="auto"/>
        <w:ind w:firstLine="440" w:firstLineChars="200"/>
        <w:rPr>
          <w:rFonts w:hint="eastAsia" w:hAnsi="宋体"/>
          <w:snapToGrid w:val="0"/>
          <w:sz w:val="22"/>
          <w:szCs w:val="22"/>
        </w:rPr>
      </w:pPr>
    </w:p>
    <w:p>
      <w:pPr>
        <w:pStyle w:val="3"/>
        <w:spacing w:before="156" w:beforeLines="50" w:line="240" w:lineRule="auto"/>
        <w:ind w:firstLine="472" w:firstLineChars="196"/>
        <w:jc w:val="left"/>
        <w:rPr>
          <w:rFonts w:hint="eastAsia" w:asciiTheme="majorEastAsia" w:hAnsiTheme="majorEastAsia" w:eastAsiaTheme="majorEastAsia" w:cstheme="majorEastAsia"/>
          <w:b/>
          <w:bCs/>
          <w:kern w:val="0"/>
          <w:sz w:val="24"/>
        </w:rPr>
      </w:pPr>
      <w:bookmarkStart w:id="50" w:name="_Toc30092"/>
      <w:bookmarkStart w:id="51" w:name="_Toc29146"/>
      <w:bookmarkStart w:id="52" w:name="_Toc1986"/>
      <w:bookmarkStart w:id="53" w:name="_Toc4662"/>
      <w:bookmarkStart w:id="54" w:name="_Toc31995"/>
      <w:bookmarkStart w:id="55" w:name="_Toc16167"/>
      <w:bookmarkStart w:id="56" w:name="_Toc30"/>
      <w:bookmarkStart w:id="57" w:name="_Toc3352"/>
      <w:bookmarkStart w:id="58" w:name="_Toc18517"/>
      <w:r>
        <w:rPr>
          <w:rFonts w:hint="eastAsia" w:asciiTheme="majorEastAsia" w:hAnsiTheme="majorEastAsia" w:eastAsiaTheme="majorEastAsia" w:cstheme="majorEastAsia"/>
          <w:b/>
          <w:bCs/>
          <w:kern w:val="0"/>
          <w:sz w:val="24"/>
          <w:lang w:val="en-US" w:eastAsia="zh-CN"/>
        </w:rPr>
        <w:t>六</w:t>
      </w:r>
      <w:r>
        <w:rPr>
          <w:rFonts w:hint="eastAsia" w:asciiTheme="majorEastAsia" w:hAnsiTheme="majorEastAsia" w:eastAsiaTheme="majorEastAsia" w:cstheme="majorEastAsia"/>
          <w:b/>
          <w:bCs/>
          <w:kern w:val="0"/>
          <w:sz w:val="24"/>
        </w:rPr>
        <w:t>、参选文件的编写</w:t>
      </w:r>
      <w:bookmarkEnd w:id="35"/>
      <w:bookmarkEnd w:id="36"/>
      <w:r>
        <w:rPr>
          <w:rFonts w:hint="eastAsia" w:asciiTheme="majorEastAsia" w:hAnsiTheme="majorEastAsia" w:eastAsiaTheme="majorEastAsia" w:cstheme="majorEastAsia"/>
          <w:b/>
          <w:bCs/>
          <w:kern w:val="0"/>
          <w:sz w:val="24"/>
        </w:rPr>
        <w:t>及封装要求</w:t>
      </w:r>
      <w:bookmarkEnd w:id="50"/>
      <w:bookmarkEnd w:id="51"/>
      <w:bookmarkEnd w:id="52"/>
      <w:bookmarkEnd w:id="53"/>
      <w:bookmarkEnd w:id="54"/>
      <w:bookmarkEnd w:id="55"/>
      <w:bookmarkEnd w:id="56"/>
      <w:bookmarkEnd w:id="57"/>
      <w:bookmarkEnd w:id="58"/>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参选文件应中文编写，A4纸印刷，</w:t>
      </w:r>
      <w:r>
        <w:rPr>
          <w:rFonts w:hint="eastAsia" w:ascii="宋体" w:hAnsi="宋体"/>
          <w:b w:val="0"/>
          <w:snapToGrid w:val="0"/>
          <w:sz w:val="22"/>
          <w:szCs w:val="22"/>
        </w:rPr>
        <w:t>每份正本或副本参选文件均由一册（双面打印）组成</w:t>
      </w:r>
      <w:r>
        <w:rPr>
          <w:rFonts w:hint="eastAsia" w:ascii="宋体" w:hAnsi="宋体"/>
          <w:snapToGrid w:val="0"/>
          <w:sz w:val="22"/>
          <w:szCs w:val="22"/>
        </w:rPr>
        <w:t>。在每一册参选文件上要明确注明“正本”和“副本”，一旦正本和副本发现差异，以正本为准。</w:t>
      </w:r>
      <w:r>
        <w:rPr>
          <w:rFonts w:hint="eastAsia" w:hAnsi="宋体"/>
          <w:snapToGrid w:val="0"/>
          <w:sz w:val="22"/>
          <w:szCs w:val="22"/>
        </w:rPr>
        <w:t>按照比选文件规定格式填写并密封包装，在外层包封封口处加盖参选银行单位公章。</w:t>
      </w:r>
    </w:p>
    <w:p>
      <w:pPr>
        <w:pStyle w:val="3"/>
        <w:spacing w:after="0" w:line="240" w:lineRule="auto"/>
        <w:ind w:firstLine="472" w:firstLineChars="196"/>
        <w:jc w:val="both"/>
        <w:rPr>
          <w:rFonts w:ascii="宋体" w:hAnsi="宋体" w:eastAsia="宋体"/>
          <w:b/>
          <w:bCs/>
          <w:sz w:val="24"/>
        </w:rPr>
      </w:pPr>
      <w:bookmarkStart w:id="59" w:name="_Toc358982945"/>
      <w:bookmarkStart w:id="60" w:name="_Toc4942"/>
      <w:bookmarkStart w:id="61" w:name="_Toc358982567"/>
      <w:bookmarkStart w:id="62" w:name="_Toc358982852"/>
      <w:bookmarkStart w:id="63" w:name="_Toc253046958"/>
      <w:bookmarkStart w:id="64" w:name="_Toc5992"/>
      <w:bookmarkStart w:id="65" w:name="_Toc444609008"/>
      <w:bookmarkStart w:id="66" w:name="_Toc14493"/>
      <w:bookmarkStart w:id="67" w:name="_Toc21464"/>
      <w:bookmarkStart w:id="68" w:name="_Toc12851"/>
      <w:bookmarkStart w:id="69" w:name="_Toc381345735"/>
      <w:bookmarkStart w:id="70" w:name="_Toc358982646"/>
      <w:bookmarkStart w:id="71" w:name="_Toc22991"/>
      <w:bookmarkStart w:id="72" w:name="_Toc14744"/>
      <w:bookmarkStart w:id="73" w:name="_Toc257713374"/>
      <w:bookmarkStart w:id="74" w:name="_Toc8082"/>
      <w:bookmarkStart w:id="75" w:name="_Toc419285577"/>
      <w:bookmarkStart w:id="76" w:name="_Toc16035"/>
      <w:bookmarkStart w:id="77" w:name="_Toc419285129"/>
      <w:bookmarkStart w:id="78" w:name="_Toc11570"/>
      <w:bookmarkStart w:id="79" w:name="_Toc402782173"/>
      <w:bookmarkStart w:id="80" w:name="_Toc23948"/>
      <w:bookmarkStart w:id="81" w:name="_Toc5224"/>
      <w:bookmarkStart w:id="82" w:name="_Toc197404910"/>
      <w:bookmarkStart w:id="83" w:name="_Toc13469"/>
      <w:bookmarkStart w:id="84" w:name="_Toc25886"/>
      <w:bookmarkStart w:id="85" w:name="_Toc8193"/>
      <w:bookmarkStart w:id="86" w:name="_Toc23574"/>
      <w:bookmarkStart w:id="87" w:name="_Toc22490"/>
      <w:bookmarkStart w:id="88" w:name="_Toc32654"/>
      <w:r>
        <w:rPr>
          <w:rFonts w:hint="eastAsia" w:asciiTheme="majorEastAsia" w:hAnsiTheme="majorEastAsia" w:eastAsiaTheme="majorEastAsia" w:cstheme="majorEastAsia"/>
          <w:b/>
          <w:bCs/>
          <w:sz w:val="24"/>
          <w:lang w:val="en-US" w:eastAsia="zh-CN"/>
        </w:rPr>
        <w:t>七</w:t>
      </w:r>
      <w:r>
        <w:rPr>
          <w:rFonts w:hint="eastAsia" w:asciiTheme="majorEastAsia" w:hAnsiTheme="majorEastAsia" w:eastAsiaTheme="majorEastAsia" w:cstheme="majorEastAsia"/>
          <w:b/>
          <w:bCs/>
          <w:sz w:val="24"/>
        </w:rPr>
        <w:t>、 参选文件的递交</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1.如果参选外层包封没有按上述规定密封并加盖公章，比选人将不承担参选文件错放或提前开封的责任，由此造成的提前开封的参选文件，比选人予以拒绝，并退还给参选银行。</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2.参选银行的所有参选文件均将在比选会上当众打开。结束后，比选人对参选银行的参选文件予以妥善保管。不按上述密封标记规定投递的参选文件，比选人不承担将其错放、漏放或提前开封的责任。</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3.参选文件应根据本条款的要求提交，超过接收时间的参选文件将不予接收。参选银行在递交参选文件时应遵照工作人员的安排有秩序地进行。</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4.参选银行应按比选文件所述的地点、日期和时间将参选文件交给比选人。参选文件需由法定代表人或其委托代理人递交。</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5.比选人可以补充通知的方式，酌情延长递交参选文件的时间。在上述情况下，比选人与参选银行在之前的参选截止日前的全部权力和义务，将适用于延长后新的参选截止期。</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6.比选人在比选公告中规定的参选截止期以后收到的参选文件，将原封退给参选银行，比选人不负任何责任。</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7.参选银行可以在递交参选文件后，修改或撤回其参选文件，但修改与撤回的通知，须在规定的参选截止期前，以书面形式按要求交给比选人。</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8. 参选银行的修改书或撤回通知书，应按本参选文件递交规定的要求编制、密封、标记（在内层包封标明“修改”或“撤回”字样）和发送。</w:t>
      </w:r>
    </w:p>
    <w:p>
      <w:pPr>
        <w:pStyle w:val="7"/>
        <w:snapToGrid w:val="0"/>
        <w:spacing w:line="360" w:lineRule="auto"/>
        <w:ind w:firstLine="440" w:firstLineChars="200"/>
        <w:rPr>
          <w:rFonts w:hAnsi="宋体"/>
          <w:snapToGrid w:val="0"/>
          <w:sz w:val="22"/>
          <w:szCs w:val="22"/>
        </w:rPr>
      </w:pPr>
      <w:r>
        <w:rPr>
          <w:rFonts w:hint="eastAsia" w:hAnsi="宋体"/>
          <w:snapToGrid w:val="0"/>
          <w:sz w:val="22"/>
          <w:szCs w:val="22"/>
        </w:rPr>
        <w:t>9.在参选截止期后，不能更改参选文件。</w:t>
      </w:r>
    </w:p>
    <w:p>
      <w:pPr>
        <w:pStyle w:val="3"/>
        <w:spacing w:after="0" w:line="240" w:lineRule="auto"/>
        <w:ind w:firstLine="472" w:firstLineChars="196"/>
        <w:jc w:val="both"/>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lang w:val="en-US" w:eastAsia="zh-CN"/>
        </w:rPr>
        <w:t>八</w:t>
      </w:r>
      <w:r>
        <w:rPr>
          <w:rFonts w:hint="eastAsia" w:asciiTheme="majorEastAsia" w:hAnsiTheme="majorEastAsia" w:eastAsiaTheme="majorEastAsia" w:cstheme="majorEastAsia"/>
          <w:b/>
          <w:bCs/>
          <w:sz w:val="24"/>
        </w:rPr>
        <w:t>、有效期</w:t>
      </w:r>
      <w:bookmarkEnd w:id="78"/>
      <w:bookmarkEnd w:id="79"/>
      <w:bookmarkEnd w:id="80"/>
      <w:bookmarkEnd w:id="81"/>
      <w:bookmarkEnd w:id="82"/>
      <w:bookmarkEnd w:id="83"/>
      <w:bookmarkEnd w:id="84"/>
      <w:bookmarkEnd w:id="85"/>
      <w:bookmarkEnd w:id="86"/>
      <w:bookmarkEnd w:id="87"/>
      <w:bookmarkEnd w:id="88"/>
    </w:p>
    <w:p>
      <w:pPr>
        <w:snapToGrid w:val="0"/>
        <w:spacing w:line="360" w:lineRule="auto"/>
        <w:ind w:firstLine="440" w:firstLineChars="200"/>
        <w:outlineLvl w:val="9"/>
        <w:rPr>
          <w:rFonts w:hint="eastAsia" w:asciiTheme="minorEastAsia" w:hAnsiTheme="minorEastAsia" w:eastAsiaTheme="minorEastAsia" w:cstheme="minorEastAsia"/>
          <w:snapToGrid w:val="0"/>
          <w:sz w:val="22"/>
          <w:szCs w:val="22"/>
        </w:rPr>
      </w:pPr>
      <w:bookmarkStart w:id="89" w:name="_Toc14139"/>
      <w:bookmarkStart w:id="90" w:name="_Toc3815"/>
      <w:bookmarkStart w:id="91" w:name="_Toc7089"/>
      <w:bookmarkStart w:id="92" w:name="_Toc8649"/>
      <w:bookmarkStart w:id="93" w:name="_Toc5254"/>
      <w:bookmarkStart w:id="94" w:name="_Toc6912"/>
      <w:bookmarkStart w:id="95" w:name="_Toc32366"/>
      <w:bookmarkStart w:id="96" w:name="_Toc10353"/>
      <w:bookmarkStart w:id="97" w:name="_Toc11469"/>
      <w:bookmarkStart w:id="98" w:name="_Toc381345741"/>
      <w:bookmarkStart w:id="99" w:name="_Toc358982652"/>
      <w:bookmarkStart w:id="100" w:name="_Toc358982951"/>
      <w:bookmarkStart w:id="101" w:name="_Toc444609013"/>
      <w:bookmarkStart w:id="102" w:name="_Toc358982573"/>
      <w:bookmarkStart w:id="103" w:name="_Toc419285582"/>
      <w:bookmarkStart w:id="104" w:name="_Toc358982858"/>
      <w:bookmarkStart w:id="105" w:name="_Toc419285134"/>
      <w:r>
        <w:rPr>
          <w:rFonts w:hint="eastAsia" w:asciiTheme="minorEastAsia" w:hAnsiTheme="minorEastAsia" w:eastAsiaTheme="minorEastAsia" w:cstheme="minorEastAsia"/>
          <w:snapToGrid w:val="0"/>
          <w:kern w:val="0"/>
          <w:sz w:val="22"/>
          <w:szCs w:val="22"/>
        </w:rPr>
        <w:t>本项目参选文件有效期为自截标日起60天内有效，中选银行应自接到中选通知后10个工作日内提供所在机构关于</w:t>
      </w:r>
      <w:r>
        <w:rPr>
          <w:rFonts w:hint="eastAsia" w:asciiTheme="minorEastAsia" w:hAnsiTheme="minorEastAsia" w:eastAsiaTheme="minorEastAsia" w:cstheme="minorEastAsia"/>
          <w:sz w:val="22"/>
          <w:szCs w:val="22"/>
        </w:rPr>
        <w:t>参选文件中的报价承诺项目</w:t>
      </w:r>
      <w:r>
        <w:rPr>
          <w:rFonts w:hint="eastAsia" w:asciiTheme="minorEastAsia" w:hAnsiTheme="minorEastAsia" w:eastAsiaTheme="minorEastAsia" w:cstheme="minorEastAsia"/>
          <w:snapToGrid w:val="0"/>
          <w:kern w:val="0"/>
          <w:sz w:val="22"/>
          <w:szCs w:val="22"/>
        </w:rPr>
        <w:t>的所有批复文件，超过该期限则按照综合评分顺延至下一银行，且对原中选银行记违约记录一次。中选银行的报价承诺项目批复有效期应在原报价有效期的基础上延长至服务期满日。</w:t>
      </w:r>
      <w:bookmarkEnd w:id="89"/>
      <w:bookmarkEnd w:id="90"/>
      <w:bookmarkEnd w:id="91"/>
      <w:bookmarkEnd w:id="92"/>
      <w:bookmarkEnd w:id="93"/>
      <w:bookmarkEnd w:id="94"/>
      <w:bookmarkEnd w:id="95"/>
      <w:bookmarkEnd w:id="96"/>
      <w:bookmarkEnd w:id="97"/>
    </w:p>
    <w:bookmarkEnd w:id="98"/>
    <w:bookmarkEnd w:id="99"/>
    <w:bookmarkEnd w:id="100"/>
    <w:bookmarkEnd w:id="101"/>
    <w:bookmarkEnd w:id="102"/>
    <w:bookmarkEnd w:id="103"/>
    <w:bookmarkEnd w:id="104"/>
    <w:bookmarkEnd w:id="105"/>
    <w:p>
      <w:pPr>
        <w:pStyle w:val="3"/>
        <w:spacing w:after="0" w:line="240" w:lineRule="auto"/>
        <w:ind w:firstLine="472" w:firstLineChars="196"/>
        <w:jc w:val="both"/>
        <w:rPr>
          <w:rFonts w:hint="eastAsia" w:asciiTheme="majorEastAsia" w:hAnsiTheme="majorEastAsia" w:eastAsiaTheme="majorEastAsia" w:cstheme="majorEastAsia"/>
          <w:b/>
          <w:bCs/>
          <w:sz w:val="24"/>
        </w:rPr>
      </w:pPr>
      <w:bookmarkStart w:id="106" w:name="_Toc20857"/>
      <w:bookmarkStart w:id="107" w:name="_Toc2732"/>
      <w:bookmarkStart w:id="108" w:name="_Toc7158"/>
      <w:bookmarkStart w:id="109" w:name="_Toc15257"/>
      <w:bookmarkStart w:id="110" w:name="_Toc29099"/>
      <w:bookmarkStart w:id="111" w:name="_Toc8168"/>
      <w:bookmarkStart w:id="112" w:name="_Toc8362"/>
      <w:bookmarkStart w:id="113" w:name="_Toc32611"/>
      <w:bookmarkStart w:id="114" w:name="_Toc5421"/>
      <w:r>
        <w:rPr>
          <w:rFonts w:hint="eastAsia" w:asciiTheme="majorEastAsia" w:hAnsiTheme="majorEastAsia" w:eastAsiaTheme="majorEastAsia" w:cstheme="majorEastAsia"/>
          <w:b/>
          <w:bCs/>
          <w:sz w:val="24"/>
          <w:lang w:val="en-US" w:eastAsia="zh-CN"/>
        </w:rPr>
        <w:t>九</w:t>
      </w:r>
      <w:r>
        <w:rPr>
          <w:rFonts w:hint="eastAsia" w:asciiTheme="majorEastAsia" w:hAnsiTheme="majorEastAsia" w:eastAsiaTheme="majorEastAsia" w:cstheme="majorEastAsia"/>
          <w:b/>
          <w:bCs/>
          <w:sz w:val="24"/>
        </w:rPr>
        <w:t>、评审工作</w:t>
      </w:r>
      <w:bookmarkEnd w:id="106"/>
      <w:bookmarkEnd w:id="107"/>
      <w:bookmarkEnd w:id="108"/>
      <w:bookmarkEnd w:id="109"/>
      <w:bookmarkEnd w:id="110"/>
      <w:bookmarkEnd w:id="111"/>
      <w:bookmarkEnd w:id="112"/>
      <w:bookmarkEnd w:id="113"/>
      <w:bookmarkEnd w:id="114"/>
    </w:p>
    <w:p>
      <w:pPr>
        <w:pStyle w:val="7"/>
        <w:snapToGrid w:val="0"/>
        <w:spacing w:line="360" w:lineRule="auto"/>
        <w:ind w:firstLine="442" w:firstLineChars="200"/>
        <w:rPr>
          <w:rFonts w:hAnsi="宋体" w:eastAsia="宋体" w:cs="Times New Roman"/>
          <w:b/>
          <w:bCs/>
          <w:kern w:val="2"/>
          <w:sz w:val="22"/>
          <w:szCs w:val="22"/>
        </w:rPr>
      </w:pPr>
      <w:bookmarkStart w:id="115" w:name="_Toc358982574"/>
      <w:bookmarkEnd w:id="115"/>
      <w:bookmarkStart w:id="116" w:name="_Toc358982952"/>
      <w:bookmarkEnd w:id="116"/>
      <w:bookmarkStart w:id="117" w:name="_Toc372481532"/>
      <w:bookmarkEnd w:id="117"/>
      <w:bookmarkStart w:id="118" w:name="_Toc419285583"/>
      <w:bookmarkEnd w:id="118"/>
      <w:bookmarkStart w:id="119" w:name="_Toc381345742"/>
      <w:bookmarkEnd w:id="119"/>
      <w:bookmarkStart w:id="120" w:name="_Toc444608263"/>
      <w:bookmarkEnd w:id="120"/>
      <w:bookmarkStart w:id="121" w:name="_Toc358982653"/>
      <w:bookmarkEnd w:id="121"/>
      <w:bookmarkStart w:id="122" w:name="_Toc419285135"/>
      <w:bookmarkEnd w:id="122"/>
      <w:bookmarkStart w:id="123" w:name="_Toc380660192"/>
      <w:bookmarkEnd w:id="123"/>
      <w:bookmarkStart w:id="124" w:name="_Toc358982859"/>
      <w:bookmarkEnd w:id="124"/>
      <w:bookmarkStart w:id="125" w:name="_Toc380659226"/>
      <w:bookmarkEnd w:id="125"/>
      <w:bookmarkStart w:id="126" w:name="_Toc444609014"/>
      <w:r>
        <w:rPr>
          <w:rFonts w:hint="eastAsia" w:hAnsi="宋体" w:eastAsia="宋体"/>
          <w:b/>
          <w:bCs/>
          <w:sz w:val="22"/>
          <w:szCs w:val="22"/>
        </w:rPr>
        <w:t>（一）</w:t>
      </w:r>
      <w:bookmarkEnd w:id="126"/>
      <w:r>
        <w:rPr>
          <w:rFonts w:hint="eastAsia" w:hAnsi="宋体" w:eastAsia="宋体"/>
          <w:b/>
          <w:bCs/>
          <w:sz w:val="22"/>
          <w:szCs w:val="22"/>
        </w:rPr>
        <w:t>开启参选文件</w:t>
      </w:r>
    </w:p>
    <w:p>
      <w:pPr>
        <w:pStyle w:val="7"/>
        <w:snapToGrid w:val="0"/>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由比选工作人员核实各参选银行代表的身份、负责各参选银行代表的签到、参选文件的递交。由纪律监督人员查验参选文件的密封和标记情况，确认无误后由比选人代表开标，比选工作人员对本比选项目采用一次开标。</w:t>
      </w:r>
    </w:p>
    <w:p>
      <w:pPr>
        <w:pStyle w:val="7"/>
        <w:snapToGrid w:val="0"/>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参选银行应派代表出席开标会。参加开标会的参选银行法定代表人或其委托代理人应携带本人身份证原件，委托代理人还应携带法定代表人签署的法人授权委托证明书。参加本次比选的比选人签字代表应签名报到，以证明其出席。</w:t>
      </w:r>
    </w:p>
    <w:p>
      <w:pPr>
        <w:pStyle w:val="7"/>
        <w:snapToGrid w:val="0"/>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3.比选工作人员将做开标记录，以备查档。</w:t>
      </w:r>
    </w:p>
    <w:p>
      <w:pPr>
        <w:spacing w:line="360" w:lineRule="auto"/>
        <w:ind w:firstLine="420"/>
        <w:rPr>
          <w:rFonts w:ascii="宋体" w:hAnsi="宋体" w:eastAsia="宋体"/>
          <w:b/>
          <w:bCs/>
          <w:sz w:val="22"/>
          <w:szCs w:val="22"/>
        </w:rPr>
      </w:pPr>
      <w:r>
        <w:rPr>
          <w:rFonts w:hint="eastAsia" w:ascii="宋体" w:hAnsi="宋体" w:eastAsia="宋体"/>
          <w:b/>
          <w:bCs/>
          <w:sz w:val="22"/>
          <w:szCs w:val="22"/>
        </w:rPr>
        <w:t>(二) 参选文件的评审</w:t>
      </w:r>
    </w:p>
    <w:p>
      <w:pPr>
        <w:spacing w:line="360" w:lineRule="auto"/>
        <w:ind w:firstLine="552" w:firstLineChars="250"/>
        <w:rPr>
          <w:rFonts w:ascii="宋体" w:hAnsi="宋体" w:eastAsia="宋体"/>
          <w:b/>
          <w:bCs/>
          <w:sz w:val="22"/>
          <w:szCs w:val="22"/>
        </w:rPr>
      </w:pPr>
      <w:r>
        <w:rPr>
          <w:rFonts w:hint="eastAsia" w:ascii="宋体" w:hAnsi="宋体" w:eastAsia="宋体"/>
          <w:b/>
          <w:bCs/>
          <w:sz w:val="22"/>
          <w:szCs w:val="22"/>
        </w:rPr>
        <w:t>1.本项目采用综合评分法</w:t>
      </w:r>
    </w:p>
    <w:p>
      <w:pPr>
        <w:pStyle w:val="7"/>
        <w:snapToGrid w:val="0"/>
        <w:spacing w:line="360" w:lineRule="auto"/>
        <w:ind w:firstLine="552" w:firstLineChars="250"/>
        <w:rPr>
          <w:rFonts w:hAnsi="宋体" w:eastAsia="宋体"/>
          <w:b/>
          <w:bCs/>
          <w:sz w:val="22"/>
          <w:szCs w:val="22"/>
        </w:rPr>
      </w:pPr>
      <w:r>
        <w:rPr>
          <w:rFonts w:hint="eastAsia" w:hAnsi="宋体" w:eastAsia="宋体"/>
          <w:b/>
          <w:bCs/>
          <w:sz w:val="22"/>
          <w:szCs w:val="22"/>
        </w:rPr>
        <w:t>2.评选委员会</w:t>
      </w:r>
    </w:p>
    <w:p>
      <w:pPr>
        <w:spacing w:line="360" w:lineRule="auto"/>
        <w:rPr>
          <w:rFonts w:ascii="宋体" w:hAnsi="宋体" w:eastAsia="宋体"/>
          <w:sz w:val="22"/>
          <w:szCs w:val="22"/>
        </w:rPr>
      </w:pPr>
      <w:r>
        <w:rPr>
          <w:rFonts w:hint="eastAsia" w:ascii="宋体" w:hAnsi="宋体" w:eastAsia="宋体"/>
          <w:sz w:val="22"/>
          <w:szCs w:val="22"/>
        </w:rPr>
        <w:t xml:space="preserve">    （1）评选委员会的组建：由5名评选专家组成。与本比选项目参选银行有利害关系的人不得进入评选委员会，已经进入的应当更换。</w:t>
      </w:r>
    </w:p>
    <w:p>
      <w:pPr>
        <w:spacing w:line="360" w:lineRule="auto"/>
        <w:rPr>
          <w:rFonts w:ascii="宋体" w:hAnsi="宋体" w:eastAsia="宋体"/>
          <w:sz w:val="22"/>
          <w:szCs w:val="22"/>
        </w:rPr>
      </w:pPr>
      <w:r>
        <w:rPr>
          <w:rFonts w:hint="eastAsia" w:ascii="宋体" w:hAnsi="宋体" w:eastAsia="宋体"/>
          <w:sz w:val="22"/>
          <w:szCs w:val="22"/>
        </w:rPr>
        <w:t xml:space="preserve">    （2）评选委员会的职责：评选委员会应根据比选文件规定的评选方法和标准，对参选文件进行系统的评审。</w:t>
      </w:r>
    </w:p>
    <w:p>
      <w:pPr>
        <w:spacing w:line="360" w:lineRule="auto"/>
        <w:ind w:firstLine="420"/>
        <w:rPr>
          <w:rFonts w:ascii="宋体" w:hAnsi="宋体" w:eastAsia="宋体"/>
          <w:b/>
          <w:bCs/>
          <w:sz w:val="22"/>
          <w:szCs w:val="22"/>
        </w:rPr>
      </w:pPr>
      <w:r>
        <w:rPr>
          <w:rFonts w:hint="eastAsia" w:ascii="宋体" w:hAnsi="宋体" w:eastAsia="宋体"/>
          <w:sz w:val="22"/>
          <w:szCs w:val="22"/>
        </w:rPr>
        <w:t xml:space="preserve"> （3）评选委员会的原则：</w:t>
      </w:r>
      <w:r>
        <w:rPr>
          <w:rFonts w:ascii="宋体" w:hAnsi="宋体" w:eastAsia="宋体"/>
          <w:sz w:val="22"/>
          <w:szCs w:val="22"/>
        </w:rPr>
        <w:t>评选活动</w:t>
      </w:r>
      <w:r>
        <w:rPr>
          <w:rFonts w:hint="eastAsia" w:ascii="宋体" w:hAnsi="宋体" w:eastAsia="宋体"/>
          <w:sz w:val="22"/>
          <w:szCs w:val="22"/>
        </w:rPr>
        <w:t>应</w:t>
      </w:r>
      <w:r>
        <w:rPr>
          <w:rFonts w:ascii="宋体" w:hAnsi="宋体" w:eastAsia="宋体"/>
          <w:sz w:val="22"/>
          <w:szCs w:val="22"/>
        </w:rPr>
        <w:t>遵循公开、公正、公平、科学、择优的原则。</w:t>
      </w:r>
      <w:r>
        <w:rPr>
          <w:rFonts w:hint="eastAsia" w:ascii="宋体" w:hAnsi="宋体" w:eastAsia="宋体"/>
          <w:sz w:val="22"/>
          <w:szCs w:val="22"/>
        </w:rPr>
        <w:t>评选委员会的评审应实行少数服从多数的原则，经评选委员会成员记名表决半数以上通过的评选结果有效。</w:t>
      </w:r>
    </w:p>
    <w:p>
      <w:pPr>
        <w:snapToGrid w:val="0"/>
        <w:spacing w:line="360" w:lineRule="auto"/>
        <w:ind w:firstLine="442" w:firstLineChars="200"/>
        <w:rPr>
          <w:rFonts w:ascii="宋体" w:hAnsi="宋体" w:eastAsia="宋体"/>
          <w:b/>
          <w:bCs/>
          <w:sz w:val="22"/>
          <w:szCs w:val="22"/>
        </w:rPr>
      </w:pPr>
      <w:bookmarkStart w:id="127" w:name="_Toc358982955"/>
      <w:bookmarkEnd w:id="127"/>
      <w:bookmarkStart w:id="128" w:name="_Toc380660195"/>
      <w:bookmarkEnd w:id="128"/>
      <w:bookmarkStart w:id="129" w:name="_Toc358982953"/>
      <w:bookmarkEnd w:id="129"/>
      <w:bookmarkStart w:id="130" w:name="_Toc381345745"/>
      <w:bookmarkEnd w:id="130"/>
      <w:bookmarkStart w:id="131" w:name="_Toc358982577"/>
      <w:bookmarkEnd w:id="131"/>
      <w:bookmarkStart w:id="132" w:name="_Toc377732218"/>
      <w:bookmarkEnd w:id="132"/>
      <w:bookmarkStart w:id="133" w:name="_Toc201401398"/>
      <w:bookmarkEnd w:id="133"/>
      <w:bookmarkStart w:id="134" w:name="_Toc358982656"/>
      <w:bookmarkEnd w:id="134"/>
      <w:bookmarkStart w:id="135" w:name="_Toc372481535"/>
      <w:bookmarkEnd w:id="135"/>
      <w:bookmarkStart w:id="136" w:name="_Toc380659227"/>
      <w:bookmarkEnd w:id="136"/>
      <w:bookmarkStart w:id="137" w:name="_Toc419285136"/>
      <w:bookmarkEnd w:id="137"/>
      <w:bookmarkStart w:id="138" w:name="_Toc419285138"/>
      <w:bookmarkEnd w:id="138"/>
      <w:bookmarkStart w:id="139" w:name="_Toc444608264"/>
      <w:bookmarkEnd w:id="139"/>
      <w:bookmarkStart w:id="140" w:name="_Toc358982575"/>
      <w:bookmarkEnd w:id="140"/>
      <w:bookmarkStart w:id="141" w:name="_Toc201401590"/>
      <w:bookmarkEnd w:id="141"/>
      <w:bookmarkStart w:id="142" w:name="_Toc201997851"/>
      <w:bookmarkEnd w:id="142"/>
      <w:bookmarkStart w:id="143" w:name="_Toc381345743"/>
      <w:bookmarkEnd w:id="143"/>
      <w:bookmarkStart w:id="144" w:name="_Toc358982860"/>
      <w:bookmarkEnd w:id="144"/>
      <w:bookmarkStart w:id="145" w:name="_Toc358982654"/>
      <w:bookmarkEnd w:id="145"/>
      <w:bookmarkStart w:id="146" w:name="_Toc419285584"/>
      <w:bookmarkEnd w:id="146"/>
      <w:bookmarkStart w:id="147" w:name="_Toc419285586"/>
      <w:bookmarkEnd w:id="147"/>
      <w:bookmarkStart w:id="148" w:name="_Toc358982862"/>
      <w:bookmarkEnd w:id="148"/>
      <w:bookmarkStart w:id="149" w:name="_Toc380660193"/>
      <w:bookmarkEnd w:id="149"/>
      <w:bookmarkStart w:id="150" w:name="_Toc380659229"/>
      <w:bookmarkEnd w:id="150"/>
      <w:bookmarkStart w:id="151" w:name="_Toc372481533"/>
      <w:bookmarkEnd w:id="151"/>
      <w:bookmarkStart w:id="152" w:name="_Toc444609015"/>
      <w:r>
        <w:rPr>
          <w:rFonts w:ascii="宋体" w:hAnsi="宋体" w:eastAsia="宋体"/>
          <w:b/>
          <w:bCs/>
          <w:sz w:val="22"/>
          <w:szCs w:val="22"/>
        </w:rPr>
        <w:t>3</w:t>
      </w:r>
      <w:bookmarkEnd w:id="152"/>
      <w:r>
        <w:rPr>
          <w:rFonts w:hint="eastAsia" w:ascii="宋体" w:hAnsi="宋体" w:eastAsia="宋体"/>
          <w:b/>
          <w:bCs/>
          <w:sz w:val="22"/>
          <w:szCs w:val="22"/>
        </w:rPr>
        <w:t>.</w:t>
      </w:r>
      <w:r>
        <w:rPr>
          <w:rFonts w:ascii="宋体" w:hAnsi="宋体" w:eastAsia="宋体"/>
          <w:b/>
          <w:bCs/>
          <w:sz w:val="22"/>
          <w:szCs w:val="22"/>
        </w:rPr>
        <w:t>参选文件的初步评审</w:t>
      </w:r>
    </w:p>
    <w:p>
      <w:pPr>
        <w:snapToGrid w:val="0"/>
        <w:spacing w:line="360" w:lineRule="auto"/>
        <w:ind w:firstLine="423"/>
        <w:rPr>
          <w:rFonts w:ascii="宋体" w:hAnsi="宋体" w:eastAsia="宋体"/>
          <w:sz w:val="22"/>
          <w:szCs w:val="22"/>
        </w:rPr>
      </w:pPr>
      <w:r>
        <w:rPr>
          <w:rFonts w:ascii="宋体" w:hAnsi="宋体" w:eastAsia="宋体"/>
          <w:sz w:val="22"/>
          <w:szCs w:val="22"/>
        </w:rPr>
        <w:t>（1）</w:t>
      </w:r>
      <w:r>
        <w:rPr>
          <w:rFonts w:hint="eastAsia" w:ascii="宋体" w:hAnsi="宋体" w:eastAsia="宋体"/>
          <w:sz w:val="22"/>
          <w:szCs w:val="22"/>
        </w:rPr>
        <w:t>按照参选须知的要求，由评选委员会对参选银行的资格条件进行审查，完成符合性审查（详见附表）。</w:t>
      </w:r>
    </w:p>
    <w:p>
      <w:pPr>
        <w:snapToGrid w:val="0"/>
        <w:spacing w:line="360" w:lineRule="auto"/>
        <w:ind w:firstLine="423"/>
        <w:rPr>
          <w:rFonts w:ascii="宋体" w:hAnsi="宋体" w:eastAsia="宋体"/>
          <w:sz w:val="22"/>
          <w:szCs w:val="22"/>
        </w:rPr>
      </w:pPr>
      <w:bookmarkStart w:id="153" w:name="_Toc380659230"/>
      <w:bookmarkEnd w:id="153"/>
      <w:bookmarkStart w:id="154" w:name="_Toc358982578"/>
      <w:bookmarkEnd w:id="154"/>
      <w:bookmarkStart w:id="155" w:name="_Toc377732219"/>
      <w:bookmarkEnd w:id="155"/>
      <w:bookmarkStart w:id="156" w:name="_Toc381345746"/>
      <w:bookmarkEnd w:id="156"/>
      <w:bookmarkStart w:id="157" w:name="_Toc358982863"/>
      <w:bookmarkEnd w:id="157"/>
      <w:bookmarkStart w:id="158" w:name="_Toc358982956"/>
      <w:bookmarkEnd w:id="158"/>
      <w:bookmarkStart w:id="159" w:name="_Toc372481536"/>
      <w:bookmarkEnd w:id="159"/>
      <w:bookmarkStart w:id="160" w:name="_Toc358982657"/>
      <w:bookmarkEnd w:id="160"/>
      <w:bookmarkStart w:id="161" w:name="_Toc419285139"/>
      <w:bookmarkEnd w:id="161"/>
      <w:bookmarkStart w:id="162" w:name="_Toc380660196"/>
      <w:bookmarkEnd w:id="162"/>
      <w:bookmarkStart w:id="163" w:name="_Toc419285587"/>
      <w:r>
        <w:rPr>
          <w:rFonts w:ascii="宋体" w:hAnsi="宋体" w:eastAsia="宋体"/>
          <w:sz w:val="22"/>
          <w:szCs w:val="22"/>
        </w:rPr>
        <w:t>（2）评选</w:t>
      </w:r>
      <w:bookmarkEnd w:id="163"/>
      <w:r>
        <w:rPr>
          <w:rFonts w:hint="eastAsia" w:ascii="宋体" w:hAnsi="宋体" w:eastAsia="宋体"/>
          <w:sz w:val="22"/>
          <w:szCs w:val="22"/>
        </w:rPr>
        <w:t>委员会</w:t>
      </w:r>
      <w:r>
        <w:rPr>
          <w:rFonts w:ascii="宋体" w:hAnsi="宋体" w:eastAsia="宋体"/>
          <w:sz w:val="22"/>
          <w:szCs w:val="22"/>
        </w:rPr>
        <w:t>对参选文件进行初审，初审内容为资格性和符合性检查。依据有关法律、法规和比选文件的规定，对参选文件中的以下内容进行审查，以确定</w:t>
      </w:r>
      <w:r>
        <w:rPr>
          <w:rFonts w:hint="eastAsia" w:ascii="宋体" w:hAnsi="宋体" w:eastAsia="宋体"/>
          <w:sz w:val="22"/>
          <w:szCs w:val="22"/>
        </w:rPr>
        <w:t>参选银行</w:t>
      </w:r>
      <w:r>
        <w:rPr>
          <w:rFonts w:ascii="宋体" w:hAnsi="宋体" w:eastAsia="宋体"/>
          <w:sz w:val="22"/>
          <w:szCs w:val="22"/>
        </w:rPr>
        <w:t>是否具备参选资格、其参选文件是否满足比选文件实质性内容，如出现以下</w:t>
      </w:r>
      <w:r>
        <w:rPr>
          <w:rFonts w:hint="eastAsia" w:ascii="宋体" w:hAnsi="宋体" w:eastAsia="宋体"/>
          <w:sz w:val="22"/>
          <w:szCs w:val="22"/>
        </w:rPr>
        <w:t>列任一</w:t>
      </w:r>
      <w:r>
        <w:rPr>
          <w:rFonts w:ascii="宋体" w:hAnsi="宋体" w:eastAsia="宋体"/>
          <w:sz w:val="22"/>
          <w:szCs w:val="22"/>
        </w:rPr>
        <w:t>情形将导致无效参选：</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①</w:t>
      </w:r>
      <w:r>
        <w:rPr>
          <w:rFonts w:hint="eastAsia" w:ascii="宋体" w:hAnsi="宋体" w:eastAsia="宋体"/>
          <w:b/>
          <w:bCs/>
          <w:color w:val="000000"/>
          <w:spacing w:val="-5"/>
          <w:kern w:val="0"/>
          <w:sz w:val="22"/>
          <w:szCs w:val="22"/>
        </w:rPr>
        <w:t>资格条件不符合比选文件要求或提供资料不全的；</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②</w:t>
      </w:r>
      <w:r>
        <w:rPr>
          <w:rFonts w:hint="eastAsia" w:ascii="宋体" w:hAnsi="宋体" w:eastAsia="宋体"/>
          <w:b/>
          <w:bCs/>
          <w:color w:val="000000"/>
          <w:spacing w:val="-5"/>
          <w:kern w:val="0"/>
          <w:sz w:val="22"/>
          <w:szCs w:val="22"/>
        </w:rPr>
        <w:t>参选文件的有关内容未按比选文件规定加盖参选银行公章的，或未经法定代表人或其委托代理人签章的，或由委托代理人签字但未提供法人授权委托证明书原件的。</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③</w:t>
      </w:r>
      <w:r>
        <w:rPr>
          <w:rFonts w:hint="eastAsia" w:ascii="宋体" w:hAnsi="宋体" w:eastAsia="宋体"/>
          <w:b/>
          <w:bCs/>
          <w:color w:val="000000"/>
          <w:spacing w:val="-5"/>
          <w:kern w:val="0"/>
          <w:sz w:val="22"/>
          <w:szCs w:val="22"/>
        </w:rPr>
        <w:t>《参选文件》未按规定格式和内容填写的。</w:t>
      </w:r>
    </w:p>
    <w:p>
      <w:pPr>
        <w:snapToGrid w:val="0"/>
        <w:spacing w:line="360" w:lineRule="auto"/>
        <w:ind w:firstLine="423"/>
        <w:rPr>
          <w:rFonts w:ascii="宋体" w:hAnsi="宋体" w:eastAsia="宋体"/>
          <w:sz w:val="22"/>
          <w:szCs w:val="22"/>
        </w:rPr>
      </w:pPr>
      <w:r>
        <w:rPr>
          <w:rFonts w:hint="eastAsia" w:ascii="宋体" w:hAnsi="宋体" w:eastAsia="宋体"/>
          <w:sz w:val="22"/>
          <w:szCs w:val="22"/>
        </w:rPr>
        <w:t>④</w:t>
      </w:r>
      <w:r>
        <w:rPr>
          <w:rFonts w:ascii="宋体" w:hAnsi="宋体" w:eastAsia="宋体"/>
          <w:b/>
          <w:bCs/>
          <w:sz w:val="22"/>
          <w:szCs w:val="22"/>
        </w:rPr>
        <w:t>参选银行递交两份或多份内容不同的参选文件，或在一份参选文件中对同一项目报有两个或多个报价，且未声明哪一个有效的。</w:t>
      </w:r>
    </w:p>
    <w:p>
      <w:pPr>
        <w:snapToGrid w:val="0"/>
        <w:spacing w:line="360" w:lineRule="auto"/>
        <w:ind w:firstLine="423"/>
        <w:rPr>
          <w:rFonts w:ascii="宋体" w:hAnsi="宋体" w:eastAsia="宋体"/>
          <w:b/>
          <w:bCs/>
          <w:sz w:val="22"/>
          <w:szCs w:val="22"/>
        </w:rPr>
      </w:pPr>
      <w:r>
        <w:rPr>
          <w:rFonts w:hint="eastAsia" w:ascii="宋体" w:hAnsi="宋体" w:eastAsia="宋体"/>
          <w:b/>
          <w:bCs/>
          <w:sz w:val="22"/>
          <w:szCs w:val="22"/>
        </w:rPr>
        <w:t>⑤</w:t>
      </w:r>
      <w:r>
        <w:rPr>
          <w:rFonts w:ascii="宋体" w:hAnsi="宋体" w:eastAsia="宋体"/>
          <w:b/>
          <w:bCs/>
          <w:sz w:val="22"/>
          <w:szCs w:val="22"/>
        </w:rPr>
        <w:t>存在法律法规或比选文件规定的其他参选无效及废标的情形；</w:t>
      </w:r>
    </w:p>
    <w:p>
      <w:pPr>
        <w:snapToGrid w:val="0"/>
        <w:spacing w:line="360" w:lineRule="auto"/>
        <w:ind w:firstLine="423"/>
        <w:rPr>
          <w:rFonts w:ascii="宋体" w:hAnsi="宋体" w:eastAsia="宋体"/>
          <w:b/>
          <w:bCs/>
          <w:sz w:val="22"/>
          <w:szCs w:val="22"/>
        </w:rPr>
      </w:pPr>
      <w:r>
        <w:rPr>
          <w:rFonts w:hint="eastAsia" w:ascii="宋体" w:hAnsi="宋体" w:eastAsia="宋体"/>
          <w:b/>
          <w:bCs/>
          <w:sz w:val="22"/>
          <w:szCs w:val="22"/>
        </w:rPr>
        <w:t>⑥未签署《承诺函》、《廉洁投标承诺书》</w:t>
      </w:r>
      <w:r>
        <w:rPr>
          <w:rFonts w:ascii="宋体" w:hAnsi="宋体" w:eastAsia="宋体"/>
          <w:b/>
          <w:bCs/>
          <w:sz w:val="22"/>
          <w:szCs w:val="22"/>
        </w:rPr>
        <w:t>。</w:t>
      </w:r>
    </w:p>
    <w:p>
      <w:pPr>
        <w:spacing w:line="360" w:lineRule="auto"/>
        <w:ind w:firstLine="440"/>
        <w:jc w:val="left"/>
        <w:rPr>
          <w:rFonts w:ascii="宋体" w:hAnsi="宋体" w:eastAsia="宋体"/>
          <w:sz w:val="22"/>
          <w:szCs w:val="22"/>
        </w:rPr>
      </w:pPr>
      <w:r>
        <w:rPr>
          <w:rFonts w:hint="eastAsia" w:ascii="宋体" w:hAnsi="宋体" w:eastAsia="宋体"/>
          <w:sz w:val="22"/>
          <w:szCs w:val="22"/>
        </w:rPr>
        <w:t>（3）符合性审查未通过的参选文件为无效标，只有通过符合性审查才有资格进入下一评审环节。通过符合性审查的参选银行须超过4家，但专项债账户或住房公积金账户若任一类参选银行数量不足2家，则宣布该类别账户比选失败。</w:t>
      </w:r>
    </w:p>
    <w:p>
      <w:pPr>
        <w:snapToGrid w:val="0"/>
        <w:spacing w:line="360" w:lineRule="auto"/>
        <w:ind w:firstLine="423"/>
        <w:rPr>
          <w:rFonts w:ascii="宋体" w:hAnsi="宋体" w:eastAsia="宋体"/>
          <w:b/>
          <w:bCs/>
          <w:sz w:val="22"/>
          <w:szCs w:val="22"/>
        </w:rPr>
      </w:pPr>
      <w:r>
        <w:rPr>
          <w:rFonts w:ascii="宋体" w:hAnsi="宋体" w:eastAsia="宋体"/>
          <w:b/>
          <w:bCs/>
          <w:sz w:val="22"/>
          <w:szCs w:val="22"/>
        </w:rPr>
        <w:t>4</w:t>
      </w:r>
      <w:r>
        <w:rPr>
          <w:rFonts w:hint="eastAsia" w:ascii="宋体" w:hAnsi="宋体" w:eastAsia="宋体"/>
          <w:b/>
          <w:bCs/>
          <w:sz w:val="22"/>
          <w:szCs w:val="22"/>
        </w:rPr>
        <w:t>.</w:t>
      </w:r>
      <w:r>
        <w:rPr>
          <w:rFonts w:ascii="宋体" w:hAnsi="宋体" w:eastAsia="宋体"/>
          <w:b/>
          <w:bCs/>
          <w:sz w:val="22"/>
          <w:szCs w:val="22"/>
        </w:rPr>
        <w:t xml:space="preserve"> 参选文件的详细评审</w:t>
      </w:r>
    </w:p>
    <w:p>
      <w:pPr>
        <w:snapToGrid w:val="0"/>
        <w:spacing w:line="360" w:lineRule="auto"/>
        <w:ind w:firstLine="423"/>
        <w:rPr>
          <w:rFonts w:ascii="宋体" w:hAnsi="宋体" w:eastAsia="宋体"/>
          <w:sz w:val="22"/>
          <w:szCs w:val="22"/>
        </w:rPr>
      </w:pPr>
      <w:r>
        <w:rPr>
          <w:rFonts w:ascii="宋体" w:hAnsi="宋体" w:eastAsia="宋体"/>
          <w:sz w:val="22"/>
          <w:szCs w:val="22"/>
        </w:rPr>
        <w:t>（1）评选</w:t>
      </w:r>
      <w:r>
        <w:rPr>
          <w:rFonts w:hint="eastAsia" w:ascii="宋体" w:hAnsi="宋体" w:eastAsia="宋体"/>
          <w:sz w:val="22"/>
          <w:szCs w:val="22"/>
        </w:rPr>
        <w:t>委员会</w:t>
      </w:r>
      <w:r>
        <w:rPr>
          <w:rFonts w:ascii="宋体" w:hAnsi="宋体" w:eastAsia="宋体"/>
          <w:sz w:val="22"/>
          <w:szCs w:val="22"/>
        </w:rPr>
        <w:t>应当对</w:t>
      </w:r>
      <w:r>
        <w:rPr>
          <w:rFonts w:hint="eastAsia" w:ascii="宋体" w:hAnsi="宋体" w:eastAsia="宋体"/>
          <w:sz w:val="22"/>
          <w:szCs w:val="22"/>
        </w:rPr>
        <w:t>参选银行</w:t>
      </w:r>
      <w:r>
        <w:rPr>
          <w:rFonts w:ascii="宋体" w:hAnsi="宋体" w:eastAsia="宋体"/>
          <w:sz w:val="22"/>
          <w:szCs w:val="22"/>
        </w:rPr>
        <w:t>的参选文件进行分析和比较。</w:t>
      </w:r>
    </w:p>
    <w:p>
      <w:pPr>
        <w:snapToGrid w:val="0"/>
        <w:spacing w:line="360" w:lineRule="auto"/>
        <w:ind w:firstLine="423"/>
        <w:rPr>
          <w:rFonts w:ascii="宋体" w:hAnsi="宋体" w:eastAsia="宋体"/>
          <w:sz w:val="22"/>
          <w:szCs w:val="22"/>
        </w:rPr>
      </w:pPr>
      <w:r>
        <w:rPr>
          <w:rFonts w:ascii="宋体" w:hAnsi="宋体" w:eastAsia="宋体"/>
          <w:sz w:val="22"/>
          <w:szCs w:val="22"/>
        </w:rPr>
        <w:t>（2）评选</w:t>
      </w:r>
      <w:r>
        <w:rPr>
          <w:rFonts w:hint="eastAsia" w:ascii="宋体" w:hAnsi="宋体" w:eastAsia="宋体"/>
          <w:sz w:val="22"/>
          <w:szCs w:val="22"/>
        </w:rPr>
        <w:t>委员会</w:t>
      </w:r>
      <w:r>
        <w:rPr>
          <w:rFonts w:ascii="宋体" w:hAnsi="宋体" w:eastAsia="宋体"/>
          <w:sz w:val="22"/>
          <w:szCs w:val="22"/>
        </w:rPr>
        <w:t>应当根据比选文件和评选表格评审要求中的规定，对参选文件中的每项评审内容进行评审。</w:t>
      </w:r>
    </w:p>
    <w:p>
      <w:pPr>
        <w:spacing w:line="360" w:lineRule="auto"/>
        <w:ind w:firstLine="420"/>
        <w:jc w:val="left"/>
        <w:rPr>
          <w:rFonts w:ascii="宋体" w:hAnsi="宋体" w:eastAsia="宋体"/>
          <w:sz w:val="22"/>
          <w:szCs w:val="22"/>
        </w:rPr>
      </w:pPr>
      <w:r>
        <w:rPr>
          <w:rFonts w:hint="eastAsia" w:ascii="宋体" w:hAnsi="宋体" w:eastAsia="宋体"/>
          <w:sz w:val="22"/>
          <w:szCs w:val="22"/>
        </w:rPr>
        <w:t>具体评审办法，得分计算方式详见“</w:t>
      </w:r>
      <w:r>
        <w:rPr>
          <w:rFonts w:hint="eastAsia" w:ascii="宋体" w:hAnsi="宋体" w:eastAsia="宋体"/>
          <w:b/>
          <w:bCs/>
          <w:sz w:val="22"/>
          <w:szCs w:val="22"/>
        </w:rPr>
        <w:t>九、评选方法</w:t>
      </w:r>
      <w:r>
        <w:rPr>
          <w:rFonts w:hint="eastAsia" w:ascii="宋体" w:hAnsi="宋体" w:eastAsia="宋体"/>
          <w:sz w:val="22"/>
          <w:szCs w:val="22"/>
        </w:rPr>
        <w:t>”。</w:t>
      </w:r>
    </w:p>
    <w:p>
      <w:pPr>
        <w:snapToGrid w:val="0"/>
        <w:spacing w:line="360" w:lineRule="auto"/>
        <w:ind w:firstLine="423"/>
        <w:rPr>
          <w:rFonts w:ascii="宋体" w:hAnsi="宋体" w:eastAsia="宋体"/>
          <w:b/>
          <w:bCs/>
          <w:sz w:val="22"/>
          <w:szCs w:val="22"/>
        </w:rPr>
      </w:pPr>
      <w:bookmarkStart w:id="164" w:name="_Toc372481537"/>
      <w:bookmarkEnd w:id="164"/>
      <w:bookmarkStart w:id="165" w:name="_Toc358982957"/>
      <w:bookmarkEnd w:id="165"/>
      <w:bookmarkStart w:id="166" w:name="_Toc419285140"/>
      <w:bookmarkEnd w:id="166"/>
      <w:bookmarkStart w:id="167" w:name="_Toc380659231"/>
      <w:bookmarkEnd w:id="167"/>
      <w:bookmarkStart w:id="168" w:name="_Toc358982864"/>
      <w:bookmarkEnd w:id="168"/>
      <w:bookmarkStart w:id="169" w:name="_Toc358982579"/>
      <w:bookmarkEnd w:id="169"/>
      <w:bookmarkStart w:id="170" w:name="_Toc381345747"/>
      <w:bookmarkEnd w:id="170"/>
      <w:bookmarkStart w:id="171" w:name="_Toc377732220"/>
      <w:bookmarkEnd w:id="171"/>
      <w:bookmarkStart w:id="172" w:name="_Toc380660197"/>
      <w:bookmarkEnd w:id="172"/>
      <w:bookmarkStart w:id="173" w:name="_Toc358982658"/>
      <w:bookmarkEnd w:id="173"/>
      <w:bookmarkStart w:id="174" w:name="_Toc419285588"/>
      <w:r>
        <w:rPr>
          <w:rFonts w:ascii="宋体" w:hAnsi="宋体" w:eastAsia="宋体"/>
          <w:b/>
          <w:bCs/>
          <w:sz w:val="22"/>
          <w:szCs w:val="22"/>
        </w:rPr>
        <w:t>5</w:t>
      </w:r>
      <w:bookmarkEnd w:id="174"/>
      <w:r>
        <w:rPr>
          <w:rFonts w:hint="eastAsia" w:ascii="宋体" w:hAnsi="宋体" w:eastAsia="宋体"/>
          <w:b/>
          <w:bCs/>
          <w:sz w:val="22"/>
          <w:szCs w:val="22"/>
        </w:rPr>
        <w:t>.</w:t>
      </w:r>
      <w:r>
        <w:rPr>
          <w:rFonts w:ascii="宋体" w:hAnsi="宋体" w:eastAsia="宋体"/>
          <w:b/>
          <w:bCs/>
          <w:sz w:val="22"/>
          <w:szCs w:val="22"/>
        </w:rPr>
        <w:t xml:space="preserve"> 参选文件的重大偏离</w:t>
      </w:r>
    </w:p>
    <w:p>
      <w:pPr>
        <w:snapToGrid w:val="0"/>
        <w:spacing w:line="360" w:lineRule="auto"/>
        <w:ind w:firstLine="423"/>
        <w:rPr>
          <w:rFonts w:ascii="宋体" w:hAnsi="宋体" w:eastAsia="宋体"/>
          <w:sz w:val="22"/>
          <w:szCs w:val="22"/>
        </w:rPr>
      </w:pPr>
      <w:bookmarkStart w:id="175" w:name="_Toc380659232"/>
      <w:bookmarkEnd w:id="175"/>
      <w:bookmarkStart w:id="176" w:name="_Toc358982659"/>
      <w:bookmarkEnd w:id="176"/>
      <w:bookmarkStart w:id="177" w:name="_Toc358982865"/>
      <w:bookmarkEnd w:id="177"/>
      <w:bookmarkStart w:id="178" w:name="_Toc358982580"/>
      <w:bookmarkEnd w:id="178"/>
      <w:bookmarkStart w:id="179" w:name="_Toc419285141"/>
      <w:bookmarkEnd w:id="179"/>
      <w:bookmarkStart w:id="180" w:name="_Toc380660198"/>
      <w:bookmarkEnd w:id="180"/>
      <w:bookmarkStart w:id="181" w:name="_Toc358982958"/>
      <w:bookmarkEnd w:id="181"/>
      <w:bookmarkStart w:id="182" w:name="_Toc372481538"/>
      <w:bookmarkEnd w:id="182"/>
      <w:bookmarkStart w:id="183" w:name="_Toc419285589"/>
      <w:bookmarkEnd w:id="183"/>
      <w:bookmarkStart w:id="184" w:name="_Toc381345748"/>
      <w:bookmarkEnd w:id="184"/>
      <w:bookmarkStart w:id="185" w:name="_Toc377732221"/>
      <w:r>
        <w:rPr>
          <w:rFonts w:ascii="宋体" w:hAnsi="宋体" w:eastAsia="宋体"/>
          <w:sz w:val="22"/>
          <w:szCs w:val="22"/>
        </w:rPr>
        <w:t>与比选文件有重大偏离的参选文件将被拒绝。重大偏离系指服务方案及资格证明文件中必须提供的资料明显符合“第二节 参选文件否决性条款”的要求。这些偏离不允许在开标后修正。但评选</w:t>
      </w:r>
      <w:bookmarkEnd w:id="185"/>
      <w:r>
        <w:rPr>
          <w:rFonts w:hint="eastAsia" w:ascii="宋体" w:hAnsi="宋体" w:eastAsia="宋体"/>
          <w:sz w:val="22"/>
          <w:szCs w:val="22"/>
        </w:rPr>
        <w:t>小组</w:t>
      </w:r>
      <w:r>
        <w:rPr>
          <w:rFonts w:ascii="宋体" w:hAnsi="宋体" w:eastAsia="宋体"/>
          <w:sz w:val="22"/>
          <w:szCs w:val="22"/>
        </w:rPr>
        <w:t>将允许修改参选中不构成重大偏离的、微小的、非正规的、不一致或不规则的地方。</w:t>
      </w:r>
    </w:p>
    <w:p>
      <w:pPr>
        <w:snapToGrid w:val="0"/>
        <w:spacing w:line="360" w:lineRule="auto"/>
        <w:ind w:firstLine="423"/>
        <w:rPr>
          <w:rFonts w:ascii="宋体" w:hAnsi="宋体" w:eastAsia="宋体"/>
          <w:b/>
          <w:bCs/>
          <w:sz w:val="22"/>
          <w:szCs w:val="22"/>
        </w:rPr>
      </w:pPr>
      <w:r>
        <w:rPr>
          <w:rFonts w:ascii="宋体" w:hAnsi="宋体" w:eastAsia="宋体"/>
          <w:b/>
          <w:bCs/>
          <w:sz w:val="22"/>
          <w:szCs w:val="22"/>
        </w:rPr>
        <w:t>6</w:t>
      </w:r>
      <w:r>
        <w:rPr>
          <w:rFonts w:hint="eastAsia" w:ascii="宋体" w:hAnsi="宋体" w:eastAsia="宋体"/>
          <w:b/>
          <w:bCs/>
          <w:sz w:val="22"/>
          <w:szCs w:val="22"/>
        </w:rPr>
        <w:t>.</w:t>
      </w:r>
      <w:r>
        <w:rPr>
          <w:rFonts w:ascii="宋体" w:hAnsi="宋体" w:eastAsia="宋体"/>
          <w:b/>
          <w:bCs/>
          <w:sz w:val="22"/>
          <w:szCs w:val="22"/>
        </w:rPr>
        <w:t>参选文件的细微偏离</w:t>
      </w:r>
    </w:p>
    <w:p>
      <w:pPr>
        <w:snapToGrid w:val="0"/>
        <w:spacing w:line="360" w:lineRule="auto"/>
        <w:ind w:firstLine="423"/>
        <w:rPr>
          <w:rFonts w:ascii="宋体" w:hAnsi="宋体" w:eastAsia="宋体"/>
          <w:sz w:val="22"/>
          <w:szCs w:val="22"/>
        </w:rPr>
      </w:pPr>
      <w:r>
        <w:rPr>
          <w:rFonts w:ascii="宋体" w:hAnsi="宋体" w:eastAsia="宋体"/>
          <w:sz w:val="22"/>
          <w:szCs w:val="22"/>
        </w:rPr>
        <w:t>（1）细微偏离是指参选文件在实质上响应比选文件要求，但在个别地方存在漏项或者提供了不完整的数据等情况，并且补正这些漏项或者不完整不会对其他</w:t>
      </w:r>
      <w:r>
        <w:rPr>
          <w:rFonts w:hint="eastAsia" w:ascii="宋体" w:hAnsi="宋体" w:eastAsia="宋体"/>
          <w:sz w:val="22"/>
          <w:szCs w:val="22"/>
        </w:rPr>
        <w:t>参选银行</w:t>
      </w:r>
      <w:r>
        <w:rPr>
          <w:rFonts w:ascii="宋体" w:hAnsi="宋体" w:eastAsia="宋体"/>
          <w:sz w:val="22"/>
          <w:szCs w:val="22"/>
        </w:rPr>
        <w:t>造成不公平的结果。细微偏离不影响参选文件的有效性。</w:t>
      </w:r>
    </w:p>
    <w:p>
      <w:pPr>
        <w:snapToGrid w:val="0"/>
        <w:spacing w:line="360" w:lineRule="auto"/>
        <w:ind w:firstLine="423"/>
        <w:rPr>
          <w:rFonts w:ascii="宋体" w:hAnsi="宋体" w:eastAsia="宋体"/>
          <w:sz w:val="22"/>
          <w:szCs w:val="22"/>
        </w:rPr>
      </w:pPr>
      <w:r>
        <w:rPr>
          <w:rFonts w:ascii="宋体" w:hAnsi="宋体" w:eastAsia="宋体"/>
          <w:sz w:val="22"/>
          <w:szCs w:val="22"/>
        </w:rPr>
        <w:t>（2）评选</w:t>
      </w:r>
      <w:r>
        <w:rPr>
          <w:rFonts w:hint="eastAsia" w:ascii="宋体" w:hAnsi="宋体" w:eastAsia="宋体"/>
          <w:sz w:val="22"/>
          <w:szCs w:val="22"/>
        </w:rPr>
        <w:t>小组</w:t>
      </w:r>
      <w:r>
        <w:rPr>
          <w:rFonts w:ascii="宋体" w:hAnsi="宋体" w:eastAsia="宋体"/>
          <w:sz w:val="22"/>
          <w:szCs w:val="22"/>
        </w:rPr>
        <w:t>应书面要求存在细微偏离的</w:t>
      </w:r>
      <w:r>
        <w:rPr>
          <w:rFonts w:hint="eastAsia" w:ascii="宋体" w:hAnsi="宋体" w:eastAsia="宋体"/>
          <w:sz w:val="22"/>
          <w:szCs w:val="22"/>
        </w:rPr>
        <w:t>参选银行</w:t>
      </w:r>
      <w:r>
        <w:rPr>
          <w:rFonts w:ascii="宋体" w:hAnsi="宋体" w:eastAsia="宋体"/>
          <w:sz w:val="22"/>
          <w:szCs w:val="22"/>
        </w:rPr>
        <w:t>在评选结束前予以补正。拒不补正的，在详细评审时可以对细微偏离按照不利于该</w:t>
      </w:r>
      <w:r>
        <w:rPr>
          <w:rFonts w:hint="eastAsia" w:ascii="宋体" w:hAnsi="宋体" w:eastAsia="宋体"/>
          <w:sz w:val="22"/>
          <w:szCs w:val="22"/>
        </w:rPr>
        <w:t>参选银行</w:t>
      </w:r>
      <w:r>
        <w:rPr>
          <w:rFonts w:ascii="宋体" w:hAnsi="宋体" w:eastAsia="宋体"/>
          <w:sz w:val="22"/>
          <w:szCs w:val="22"/>
        </w:rPr>
        <w:t>的原则进行调整，且</w:t>
      </w:r>
      <w:r>
        <w:rPr>
          <w:rFonts w:hint="eastAsia" w:ascii="宋体" w:hAnsi="宋体" w:eastAsia="宋体"/>
          <w:sz w:val="22"/>
          <w:szCs w:val="22"/>
        </w:rPr>
        <w:t>参选银行</w:t>
      </w:r>
      <w:r>
        <w:rPr>
          <w:rFonts w:ascii="宋体" w:hAnsi="宋体" w:eastAsia="宋体"/>
          <w:sz w:val="22"/>
          <w:szCs w:val="22"/>
        </w:rPr>
        <w:t>不得因此提出任何异议。</w:t>
      </w:r>
    </w:p>
    <w:p>
      <w:pPr>
        <w:spacing w:line="360" w:lineRule="auto"/>
        <w:jc w:val="left"/>
        <w:rPr>
          <w:rFonts w:ascii="宋体" w:hAnsi="宋体" w:eastAsia="宋体"/>
          <w:sz w:val="22"/>
          <w:szCs w:val="22"/>
        </w:rPr>
      </w:pPr>
      <w:r>
        <w:rPr>
          <w:rFonts w:hint="eastAsia" w:ascii="宋体" w:hAnsi="宋体" w:eastAsia="宋体"/>
          <w:sz w:val="22"/>
          <w:szCs w:val="22"/>
        </w:rPr>
        <w:t xml:space="preserve">    （3）参选银行的参选文件中的报价项目如出现错误或其他情况均按照价格审核计算后，以不利于参选银行的原则予以调整，得出评审价。</w:t>
      </w:r>
    </w:p>
    <w:p>
      <w:pPr>
        <w:spacing w:line="360" w:lineRule="auto"/>
        <w:jc w:val="left"/>
        <w:rPr>
          <w:rFonts w:ascii="宋体" w:hAnsi="宋体" w:eastAsia="宋体"/>
          <w:sz w:val="22"/>
          <w:szCs w:val="22"/>
        </w:rPr>
      </w:pPr>
      <w:r>
        <w:rPr>
          <w:rFonts w:hint="eastAsia" w:ascii="宋体" w:hAnsi="宋体" w:eastAsia="宋体"/>
          <w:sz w:val="22"/>
          <w:szCs w:val="22"/>
        </w:rPr>
        <w:t xml:space="preserve">    （4）按照以上（3）规定的调整方法确定的调整后报价，须取得参选银行同意并书面签字确认。如果参选银行拒不接受调整方法以及调整后的报价的，其参选将被拒绝。</w:t>
      </w:r>
    </w:p>
    <w:p>
      <w:pPr>
        <w:spacing w:line="360" w:lineRule="auto"/>
        <w:ind w:firstLine="440" w:firstLineChars="200"/>
        <w:jc w:val="left"/>
        <w:rPr>
          <w:rFonts w:ascii="宋体" w:hAnsi="宋体" w:eastAsia="宋体"/>
          <w:sz w:val="22"/>
          <w:szCs w:val="22"/>
        </w:rPr>
      </w:pPr>
      <w:r>
        <w:rPr>
          <w:rFonts w:hint="eastAsia" w:ascii="宋体" w:hAnsi="宋体" w:eastAsia="宋体"/>
          <w:sz w:val="22"/>
          <w:szCs w:val="22"/>
        </w:rPr>
        <w:t>（5）参选银行的报价如按照以上（3）规定进行了调整的，最终评分按就低不就高的原则确定。如果参选银行拒不接受的，其参选要求将被拒绝。</w:t>
      </w:r>
    </w:p>
    <w:p>
      <w:pPr>
        <w:snapToGrid w:val="0"/>
        <w:spacing w:line="360" w:lineRule="auto"/>
        <w:ind w:firstLine="640"/>
        <w:rPr>
          <w:rFonts w:ascii="宋体" w:hAnsi="宋体" w:eastAsia="宋体"/>
          <w:b/>
          <w:bCs/>
          <w:sz w:val="22"/>
          <w:szCs w:val="22"/>
        </w:rPr>
      </w:pPr>
      <w:bookmarkStart w:id="186" w:name="_Toc201401402"/>
      <w:bookmarkEnd w:id="186"/>
      <w:bookmarkStart w:id="187" w:name="_Toc201401594"/>
      <w:r>
        <w:rPr>
          <w:rFonts w:ascii="宋体" w:hAnsi="宋体" w:eastAsia="宋体"/>
          <w:b/>
          <w:bCs/>
          <w:sz w:val="22"/>
          <w:szCs w:val="22"/>
        </w:rPr>
        <w:t>7</w:t>
      </w:r>
      <w:bookmarkEnd w:id="187"/>
      <w:r>
        <w:rPr>
          <w:rFonts w:hint="eastAsia" w:ascii="宋体" w:hAnsi="宋体" w:eastAsia="宋体"/>
          <w:b/>
          <w:bCs/>
          <w:sz w:val="22"/>
          <w:szCs w:val="22"/>
        </w:rPr>
        <w:t>.</w:t>
      </w:r>
      <w:r>
        <w:rPr>
          <w:rFonts w:ascii="宋体" w:hAnsi="宋体" w:eastAsia="宋体"/>
          <w:b/>
          <w:bCs/>
          <w:sz w:val="22"/>
          <w:szCs w:val="22"/>
        </w:rPr>
        <w:t>参选文件的澄清和对</w:t>
      </w:r>
      <w:r>
        <w:rPr>
          <w:rFonts w:hint="eastAsia" w:ascii="宋体" w:hAnsi="宋体" w:eastAsia="宋体"/>
          <w:b/>
          <w:bCs/>
          <w:sz w:val="22"/>
          <w:szCs w:val="22"/>
        </w:rPr>
        <w:t>陈述</w:t>
      </w:r>
      <w:r>
        <w:rPr>
          <w:rFonts w:ascii="宋体" w:hAnsi="宋体" w:eastAsia="宋体"/>
          <w:b/>
          <w:bCs/>
          <w:sz w:val="22"/>
          <w:szCs w:val="22"/>
        </w:rPr>
        <w:t>人的要求</w:t>
      </w:r>
    </w:p>
    <w:p>
      <w:pPr>
        <w:snapToGrid w:val="0"/>
        <w:spacing w:line="360" w:lineRule="auto"/>
        <w:ind w:firstLine="423"/>
        <w:rPr>
          <w:rFonts w:ascii="宋体" w:hAnsi="宋体" w:eastAsia="宋体"/>
          <w:sz w:val="22"/>
          <w:szCs w:val="22"/>
        </w:rPr>
      </w:pPr>
      <w:r>
        <w:rPr>
          <w:rFonts w:ascii="宋体" w:hAnsi="宋体" w:eastAsia="宋体"/>
          <w:sz w:val="22"/>
          <w:szCs w:val="22"/>
        </w:rPr>
        <w:t>（1）评选</w:t>
      </w:r>
      <w:r>
        <w:rPr>
          <w:rFonts w:hint="eastAsia" w:ascii="宋体" w:hAnsi="宋体" w:eastAsia="宋体"/>
          <w:sz w:val="22"/>
          <w:szCs w:val="22"/>
        </w:rPr>
        <w:t>委员会</w:t>
      </w:r>
      <w:r>
        <w:rPr>
          <w:rFonts w:ascii="宋体" w:hAnsi="宋体" w:eastAsia="宋体"/>
          <w:sz w:val="22"/>
          <w:szCs w:val="22"/>
        </w:rPr>
        <w:t>可以要求</w:t>
      </w:r>
      <w:r>
        <w:rPr>
          <w:rFonts w:hint="eastAsia" w:ascii="宋体" w:hAnsi="宋体" w:eastAsia="宋体"/>
          <w:sz w:val="22"/>
          <w:szCs w:val="22"/>
        </w:rPr>
        <w:t>参选银行</w:t>
      </w:r>
      <w:r>
        <w:rPr>
          <w:rFonts w:ascii="宋体" w:hAnsi="宋体" w:eastAsia="宋体"/>
          <w:sz w:val="22"/>
          <w:szCs w:val="22"/>
        </w:rPr>
        <w:t>对参选文件含义不明确的内容作必要的澄清、说明。澄清、说明应以书面方式进行并不得超出参选文件的范围或改变参选文件的实质性内容。</w:t>
      </w:r>
    </w:p>
    <w:p>
      <w:pPr>
        <w:snapToGrid w:val="0"/>
        <w:spacing w:line="360" w:lineRule="auto"/>
        <w:ind w:firstLine="423"/>
        <w:rPr>
          <w:rFonts w:ascii="宋体" w:hAnsi="宋体" w:eastAsia="宋体"/>
          <w:sz w:val="22"/>
          <w:szCs w:val="22"/>
        </w:rPr>
      </w:pPr>
      <w:r>
        <w:rPr>
          <w:rFonts w:ascii="宋体" w:hAnsi="宋体" w:eastAsia="宋体"/>
          <w:sz w:val="22"/>
          <w:szCs w:val="22"/>
        </w:rPr>
        <w:t>（2）</w:t>
      </w:r>
      <w:r>
        <w:rPr>
          <w:rFonts w:hint="eastAsia" w:ascii="宋体" w:hAnsi="宋体" w:eastAsia="宋体"/>
          <w:sz w:val="22"/>
          <w:szCs w:val="22"/>
        </w:rPr>
        <w:t>参选银行</w:t>
      </w:r>
      <w:r>
        <w:rPr>
          <w:rFonts w:ascii="宋体" w:hAnsi="宋体" w:eastAsia="宋体"/>
          <w:sz w:val="22"/>
          <w:szCs w:val="22"/>
        </w:rPr>
        <w:t>委派的</w:t>
      </w:r>
      <w:r>
        <w:rPr>
          <w:rFonts w:hint="eastAsia" w:ascii="宋体" w:hAnsi="宋体" w:eastAsia="宋体"/>
          <w:sz w:val="22"/>
          <w:szCs w:val="22"/>
        </w:rPr>
        <w:t>陈述</w:t>
      </w:r>
      <w:r>
        <w:rPr>
          <w:rFonts w:ascii="宋体" w:hAnsi="宋体" w:eastAsia="宋体"/>
          <w:sz w:val="22"/>
          <w:szCs w:val="22"/>
        </w:rPr>
        <w:t>人应符合以下条件：</w:t>
      </w:r>
    </w:p>
    <w:p>
      <w:pPr>
        <w:snapToGrid w:val="0"/>
        <w:spacing w:line="360" w:lineRule="auto"/>
        <w:ind w:firstLine="851"/>
        <w:rPr>
          <w:rFonts w:ascii="宋体" w:hAnsi="宋体" w:eastAsia="宋体"/>
          <w:sz w:val="22"/>
          <w:szCs w:val="22"/>
        </w:rPr>
      </w:pPr>
      <w:r>
        <w:rPr>
          <w:rFonts w:hint="eastAsia" w:ascii="宋体" w:hAnsi="宋体" w:eastAsia="宋体"/>
          <w:sz w:val="22"/>
          <w:szCs w:val="22"/>
        </w:rPr>
        <w:t>①</w:t>
      </w:r>
      <w:r>
        <w:rPr>
          <w:rFonts w:ascii="宋体" w:hAnsi="宋体" w:eastAsia="宋体"/>
          <w:sz w:val="22"/>
          <w:szCs w:val="22"/>
        </w:rPr>
        <w:t xml:space="preserve"> 拟进行参选</w:t>
      </w:r>
      <w:r>
        <w:rPr>
          <w:rFonts w:hint="eastAsia" w:ascii="宋体" w:hAnsi="宋体" w:eastAsia="宋体"/>
          <w:sz w:val="22"/>
          <w:szCs w:val="22"/>
        </w:rPr>
        <w:t>陈述澄清</w:t>
      </w:r>
      <w:r>
        <w:rPr>
          <w:rFonts w:ascii="宋体" w:hAnsi="宋体" w:eastAsia="宋体"/>
          <w:sz w:val="22"/>
          <w:szCs w:val="22"/>
        </w:rPr>
        <w:t>的，</w:t>
      </w:r>
      <w:r>
        <w:rPr>
          <w:rFonts w:hint="eastAsia" w:ascii="宋体" w:hAnsi="宋体" w:eastAsia="宋体"/>
          <w:sz w:val="22"/>
          <w:szCs w:val="22"/>
        </w:rPr>
        <w:t>陈述</w:t>
      </w:r>
      <w:r>
        <w:rPr>
          <w:rFonts w:ascii="宋体" w:hAnsi="宋体" w:eastAsia="宋体"/>
          <w:sz w:val="22"/>
          <w:szCs w:val="22"/>
        </w:rPr>
        <w:t>人必须是</w:t>
      </w:r>
      <w:r>
        <w:rPr>
          <w:rFonts w:hint="eastAsia" w:ascii="宋体" w:hAnsi="宋体" w:eastAsia="宋体"/>
          <w:sz w:val="22"/>
          <w:szCs w:val="22"/>
        </w:rPr>
        <w:t>参选银行</w:t>
      </w:r>
      <w:r>
        <w:rPr>
          <w:rFonts w:ascii="宋体" w:hAnsi="宋体" w:eastAsia="宋体"/>
          <w:sz w:val="22"/>
          <w:szCs w:val="22"/>
        </w:rPr>
        <w:t>拟派往本比选项目的法定代表人（或其委托代理人）。</w:t>
      </w:r>
    </w:p>
    <w:p>
      <w:pPr>
        <w:snapToGrid w:val="0"/>
        <w:spacing w:line="360" w:lineRule="auto"/>
        <w:ind w:firstLine="851"/>
        <w:rPr>
          <w:rFonts w:ascii="宋体" w:hAnsi="宋体" w:eastAsia="宋体"/>
          <w:sz w:val="22"/>
          <w:szCs w:val="22"/>
        </w:rPr>
      </w:pPr>
      <w:r>
        <w:rPr>
          <w:rFonts w:hint="eastAsia" w:ascii="宋体" w:hAnsi="宋体" w:eastAsia="宋体"/>
          <w:sz w:val="22"/>
          <w:szCs w:val="22"/>
        </w:rPr>
        <w:t>②</w:t>
      </w:r>
      <w:r>
        <w:rPr>
          <w:rFonts w:ascii="宋体" w:hAnsi="宋体" w:eastAsia="宋体"/>
          <w:sz w:val="22"/>
          <w:szCs w:val="22"/>
        </w:rPr>
        <w:t xml:space="preserve"> </w:t>
      </w:r>
      <w:r>
        <w:rPr>
          <w:rFonts w:hint="eastAsia" w:ascii="宋体" w:hAnsi="宋体" w:eastAsia="宋体"/>
          <w:sz w:val="22"/>
          <w:szCs w:val="22"/>
        </w:rPr>
        <w:t>陈述</w:t>
      </w:r>
      <w:r>
        <w:rPr>
          <w:rFonts w:ascii="宋体" w:hAnsi="宋体" w:eastAsia="宋体"/>
          <w:sz w:val="22"/>
          <w:szCs w:val="22"/>
        </w:rPr>
        <w:t>人须经比选人工作人员核验其身份。</w:t>
      </w:r>
      <w:r>
        <w:rPr>
          <w:rFonts w:hint="eastAsia" w:ascii="宋体" w:hAnsi="宋体" w:eastAsia="宋体"/>
          <w:sz w:val="22"/>
          <w:szCs w:val="22"/>
        </w:rPr>
        <w:t>陈述</w:t>
      </w:r>
      <w:r>
        <w:rPr>
          <w:rFonts w:ascii="宋体" w:hAnsi="宋体" w:eastAsia="宋体"/>
          <w:sz w:val="22"/>
          <w:szCs w:val="22"/>
        </w:rPr>
        <w:t>人务必携带有效的身份证明材料。</w:t>
      </w:r>
      <w:r>
        <w:rPr>
          <w:rFonts w:hint="eastAsia" w:ascii="宋体" w:hAnsi="宋体" w:eastAsia="宋体"/>
          <w:sz w:val="22"/>
          <w:szCs w:val="22"/>
        </w:rPr>
        <w:t>参选银行</w:t>
      </w:r>
      <w:r>
        <w:rPr>
          <w:rFonts w:ascii="宋体" w:hAnsi="宋体" w:eastAsia="宋体"/>
          <w:sz w:val="22"/>
          <w:szCs w:val="22"/>
        </w:rPr>
        <w:t>拟委派</w:t>
      </w:r>
      <w:r>
        <w:rPr>
          <w:rFonts w:hint="eastAsia" w:ascii="宋体" w:hAnsi="宋体" w:eastAsia="宋体"/>
          <w:sz w:val="22"/>
          <w:szCs w:val="22"/>
        </w:rPr>
        <w:t>陈述</w:t>
      </w:r>
      <w:r>
        <w:rPr>
          <w:rFonts w:ascii="宋体" w:hAnsi="宋体" w:eastAsia="宋体"/>
          <w:sz w:val="22"/>
          <w:szCs w:val="22"/>
        </w:rPr>
        <w:t>人非本条第</w:t>
      </w:r>
      <w:r>
        <w:rPr>
          <w:rFonts w:hint="eastAsia" w:ascii="宋体" w:hAnsi="宋体" w:eastAsia="宋体"/>
          <w:sz w:val="22"/>
          <w:szCs w:val="22"/>
        </w:rPr>
        <w:t>①</w:t>
      </w:r>
      <w:r>
        <w:rPr>
          <w:rFonts w:ascii="宋体" w:hAnsi="宋体" w:eastAsia="宋体"/>
          <w:sz w:val="22"/>
          <w:szCs w:val="22"/>
        </w:rPr>
        <w:t>项规定的人员不得进入</w:t>
      </w:r>
      <w:r>
        <w:rPr>
          <w:rFonts w:hint="eastAsia" w:ascii="宋体" w:hAnsi="宋体" w:eastAsia="宋体"/>
          <w:sz w:val="22"/>
          <w:szCs w:val="22"/>
        </w:rPr>
        <w:t>陈述室</w:t>
      </w:r>
      <w:r>
        <w:rPr>
          <w:rFonts w:ascii="宋体" w:hAnsi="宋体" w:eastAsia="宋体"/>
          <w:sz w:val="22"/>
          <w:szCs w:val="22"/>
        </w:rPr>
        <w:t>，进入</w:t>
      </w:r>
      <w:r>
        <w:rPr>
          <w:rFonts w:hint="eastAsia" w:ascii="宋体" w:hAnsi="宋体" w:eastAsia="宋体"/>
          <w:sz w:val="22"/>
          <w:szCs w:val="22"/>
        </w:rPr>
        <w:t>陈述</w:t>
      </w:r>
      <w:r>
        <w:rPr>
          <w:rFonts w:ascii="宋体" w:hAnsi="宋体" w:eastAsia="宋体"/>
          <w:sz w:val="22"/>
          <w:szCs w:val="22"/>
        </w:rPr>
        <w:t>室的不超过3人。</w:t>
      </w:r>
    </w:p>
    <w:p>
      <w:pPr>
        <w:snapToGrid w:val="0"/>
        <w:spacing w:line="360" w:lineRule="auto"/>
        <w:ind w:firstLine="423"/>
        <w:rPr>
          <w:rFonts w:ascii="宋体" w:hAnsi="宋体" w:eastAsia="宋体"/>
          <w:sz w:val="22"/>
          <w:szCs w:val="22"/>
        </w:rPr>
      </w:pPr>
      <w:r>
        <w:rPr>
          <w:rFonts w:ascii="宋体" w:hAnsi="宋体" w:eastAsia="宋体"/>
          <w:sz w:val="22"/>
          <w:szCs w:val="22"/>
        </w:rPr>
        <w:t>（3）评选</w:t>
      </w:r>
      <w:r>
        <w:rPr>
          <w:rFonts w:hint="eastAsia" w:ascii="宋体" w:hAnsi="宋体" w:eastAsia="宋体"/>
          <w:sz w:val="22"/>
          <w:szCs w:val="22"/>
        </w:rPr>
        <w:t>小组</w:t>
      </w:r>
      <w:r>
        <w:rPr>
          <w:rFonts w:ascii="宋体" w:hAnsi="宋体" w:eastAsia="宋体"/>
          <w:sz w:val="22"/>
          <w:szCs w:val="22"/>
        </w:rPr>
        <w:t>要求</w:t>
      </w:r>
      <w:r>
        <w:rPr>
          <w:rFonts w:hint="eastAsia" w:ascii="宋体" w:hAnsi="宋体" w:eastAsia="宋体"/>
          <w:sz w:val="22"/>
          <w:szCs w:val="22"/>
        </w:rPr>
        <w:t>参选银行</w:t>
      </w:r>
      <w:r>
        <w:rPr>
          <w:rFonts w:ascii="宋体" w:hAnsi="宋体" w:eastAsia="宋体"/>
          <w:sz w:val="22"/>
          <w:szCs w:val="22"/>
        </w:rPr>
        <w:t>进行</w:t>
      </w:r>
      <w:r>
        <w:rPr>
          <w:rFonts w:hint="eastAsia" w:ascii="宋体" w:hAnsi="宋体" w:eastAsia="宋体"/>
          <w:sz w:val="22"/>
          <w:szCs w:val="22"/>
        </w:rPr>
        <w:t>陈述</w:t>
      </w:r>
      <w:r>
        <w:rPr>
          <w:rFonts w:ascii="宋体" w:hAnsi="宋体" w:eastAsia="宋体"/>
          <w:sz w:val="22"/>
          <w:szCs w:val="22"/>
        </w:rPr>
        <w:t>，但</w:t>
      </w:r>
      <w:r>
        <w:rPr>
          <w:rFonts w:hint="eastAsia" w:ascii="宋体" w:hAnsi="宋体" w:eastAsia="宋体"/>
          <w:sz w:val="22"/>
          <w:szCs w:val="22"/>
        </w:rPr>
        <w:t>参选银行</w:t>
      </w:r>
      <w:r>
        <w:rPr>
          <w:rFonts w:ascii="宋体" w:hAnsi="宋体" w:eastAsia="宋体"/>
          <w:sz w:val="22"/>
          <w:szCs w:val="22"/>
        </w:rPr>
        <w:t>在规定时间内未派出</w:t>
      </w:r>
      <w:r>
        <w:rPr>
          <w:rFonts w:hint="eastAsia" w:ascii="宋体" w:hAnsi="宋体" w:eastAsia="宋体"/>
          <w:sz w:val="22"/>
          <w:szCs w:val="22"/>
        </w:rPr>
        <w:t>陈述</w:t>
      </w:r>
      <w:r>
        <w:rPr>
          <w:rFonts w:ascii="宋体" w:hAnsi="宋体" w:eastAsia="宋体"/>
          <w:sz w:val="22"/>
          <w:szCs w:val="22"/>
        </w:rPr>
        <w:t>人的，评选委员会将根据比选文件规定做出不利于</w:t>
      </w:r>
      <w:r>
        <w:rPr>
          <w:rFonts w:hint="eastAsia" w:ascii="宋体" w:hAnsi="宋体" w:eastAsia="宋体"/>
          <w:sz w:val="22"/>
          <w:szCs w:val="22"/>
        </w:rPr>
        <w:t>参选银行</w:t>
      </w:r>
      <w:r>
        <w:rPr>
          <w:rFonts w:ascii="宋体" w:hAnsi="宋体" w:eastAsia="宋体"/>
          <w:sz w:val="22"/>
          <w:szCs w:val="22"/>
        </w:rPr>
        <w:t>的判定，且</w:t>
      </w:r>
      <w:r>
        <w:rPr>
          <w:rFonts w:hint="eastAsia" w:ascii="宋体" w:hAnsi="宋体" w:eastAsia="宋体"/>
          <w:sz w:val="22"/>
          <w:szCs w:val="22"/>
        </w:rPr>
        <w:t>参选银行</w:t>
      </w:r>
      <w:r>
        <w:rPr>
          <w:rFonts w:ascii="宋体" w:hAnsi="宋体" w:eastAsia="宋体"/>
          <w:sz w:val="22"/>
          <w:szCs w:val="22"/>
        </w:rPr>
        <w:t>不得因此提出任何异议。</w:t>
      </w:r>
    </w:p>
    <w:p>
      <w:pPr>
        <w:snapToGrid w:val="0"/>
        <w:spacing w:line="360" w:lineRule="auto"/>
        <w:ind w:firstLine="423"/>
        <w:rPr>
          <w:rFonts w:ascii="宋体" w:hAnsi="宋体" w:eastAsia="宋体"/>
          <w:b/>
          <w:bCs/>
          <w:sz w:val="22"/>
          <w:szCs w:val="22"/>
        </w:rPr>
      </w:pPr>
      <w:r>
        <w:rPr>
          <w:rFonts w:hint="eastAsia" w:ascii="宋体" w:hAnsi="宋体" w:eastAsia="宋体"/>
          <w:b/>
          <w:bCs/>
          <w:sz w:val="22"/>
          <w:szCs w:val="22"/>
        </w:rPr>
        <w:t>8.评审</w:t>
      </w:r>
      <w:r>
        <w:rPr>
          <w:rFonts w:ascii="宋体" w:hAnsi="宋体" w:eastAsia="宋体"/>
          <w:b/>
          <w:bCs/>
          <w:sz w:val="22"/>
          <w:szCs w:val="22"/>
        </w:rPr>
        <w:t>过程的保密性</w:t>
      </w:r>
    </w:p>
    <w:p>
      <w:pPr>
        <w:snapToGrid w:val="0"/>
        <w:spacing w:line="360" w:lineRule="auto"/>
        <w:ind w:firstLine="423"/>
        <w:rPr>
          <w:rFonts w:ascii="宋体" w:hAnsi="宋体" w:eastAsia="宋体"/>
          <w:sz w:val="22"/>
          <w:szCs w:val="22"/>
        </w:rPr>
      </w:pPr>
      <w:r>
        <w:rPr>
          <w:rFonts w:ascii="宋体" w:hAnsi="宋体" w:eastAsia="宋体"/>
          <w:sz w:val="22"/>
          <w:szCs w:val="22"/>
        </w:rPr>
        <w:t>中选人确定后，比选人无需向未中选</w:t>
      </w:r>
      <w:r>
        <w:rPr>
          <w:rFonts w:hint="eastAsia" w:ascii="宋体" w:hAnsi="宋体" w:eastAsia="宋体"/>
          <w:sz w:val="22"/>
          <w:szCs w:val="22"/>
        </w:rPr>
        <w:t>银行</w:t>
      </w:r>
      <w:r>
        <w:rPr>
          <w:rFonts w:ascii="宋体" w:hAnsi="宋体" w:eastAsia="宋体"/>
          <w:sz w:val="22"/>
          <w:szCs w:val="22"/>
        </w:rPr>
        <w:t>就评选过程及其未能中选</w:t>
      </w:r>
      <w:r>
        <w:rPr>
          <w:rFonts w:hint="eastAsia" w:ascii="宋体" w:hAnsi="宋体" w:eastAsia="宋体"/>
          <w:sz w:val="22"/>
          <w:szCs w:val="22"/>
        </w:rPr>
        <w:t>的原因</w:t>
      </w:r>
      <w:r>
        <w:rPr>
          <w:rFonts w:ascii="宋体" w:hAnsi="宋体" w:eastAsia="宋体"/>
          <w:sz w:val="22"/>
          <w:szCs w:val="22"/>
        </w:rPr>
        <w:t>做出任何解释。评选</w:t>
      </w:r>
      <w:r>
        <w:rPr>
          <w:rFonts w:hint="eastAsia" w:ascii="宋体" w:hAnsi="宋体" w:eastAsia="宋体"/>
          <w:sz w:val="22"/>
          <w:szCs w:val="22"/>
        </w:rPr>
        <w:t>委员会</w:t>
      </w:r>
      <w:r>
        <w:rPr>
          <w:rFonts w:ascii="宋体" w:hAnsi="宋体" w:eastAsia="宋体"/>
          <w:sz w:val="22"/>
          <w:szCs w:val="22"/>
        </w:rPr>
        <w:t>成员或其</w:t>
      </w:r>
      <w:r>
        <w:rPr>
          <w:rFonts w:hint="eastAsia" w:ascii="宋体" w:hAnsi="宋体" w:eastAsia="宋体"/>
          <w:sz w:val="22"/>
          <w:szCs w:val="22"/>
        </w:rPr>
        <w:t>有</w:t>
      </w:r>
      <w:r>
        <w:rPr>
          <w:rFonts w:ascii="宋体" w:hAnsi="宋体" w:eastAsia="宋体"/>
          <w:sz w:val="22"/>
          <w:szCs w:val="22"/>
        </w:rPr>
        <w:t>关</w:t>
      </w:r>
      <w:r>
        <w:rPr>
          <w:rFonts w:hint="eastAsia" w:ascii="宋体" w:hAnsi="宋体" w:eastAsia="宋体"/>
          <w:sz w:val="22"/>
          <w:szCs w:val="22"/>
        </w:rPr>
        <w:t>工作</w:t>
      </w:r>
      <w:r>
        <w:rPr>
          <w:rFonts w:ascii="宋体" w:hAnsi="宋体" w:eastAsia="宋体"/>
          <w:sz w:val="22"/>
          <w:szCs w:val="22"/>
        </w:rPr>
        <w:t>人员不得向未中选人透露评选过程的情况和材料。</w:t>
      </w:r>
    </w:p>
    <w:p>
      <w:pPr>
        <w:spacing w:line="360" w:lineRule="auto"/>
        <w:rPr>
          <w:b/>
          <w:bCs/>
          <w:sz w:val="24"/>
        </w:rPr>
      </w:pPr>
      <w:r>
        <w:rPr>
          <w:rFonts w:hint="eastAsia"/>
          <w:sz w:val="24"/>
        </w:rPr>
        <w:t xml:space="preserve">  </w:t>
      </w: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十</w:t>
      </w:r>
      <w:r>
        <w:rPr>
          <w:rFonts w:hint="eastAsia" w:asciiTheme="majorEastAsia" w:hAnsiTheme="majorEastAsia" w:eastAsiaTheme="majorEastAsia" w:cstheme="majorEastAsia"/>
          <w:b/>
          <w:bCs/>
          <w:sz w:val="24"/>
        </w:rPr>
        <w:t>、评选方法</w:t>
      </w:r>
    </w:p>
    <w:p>
      <w:pPr>
        <w:spacing w:line="360" w:lineRule="auto"/>
        <w:rPr>
          <w:sz w:val="22"/>
          <w:szCs w:val="22"/>
        </w:rPr>
      </w:pPr>
      <w:r>
        <w:rPr>
          <w:rFonts w:hint="eastAsia"/>
        </w:rPr>
        <w:t xml:space="preserve">    </w:t>
      </w:r>
      <w:r>
        <w:rPr>
          <w:rFonts w:hint="eastAsia" w:ascii="宋体" w:hAnsi="宋体"/>
          <w:sz w:val="22"/>
          <w:szCs w:val="22"/>
        </w:rPr>
        <w:t>开标会由比选人主持，并按下列程序进行：</w:t>
      </w:r>
    </w:p>
    <w:p>
      <w:pPr>
        <w:spacing w:line="360" w:lineRule="auto"/>
        <w:rPr>
          <w:sz w:val="22"/>
          <w:szCs w:val="22"/>
        </w:rPr>
      </w:pPr>
      <w:r>
        <w:rPr>
          <w:rFonts w:hint="eastAsia"/>
          <w:sz w:val="22"/>
          <w:szCs w:val="22"/>
        </w:rPr>
        <w:t xml:space="preserve">    </w:t>
      </w:r>
      <w:r>
        <w:rPr>
          <w:rFonts w:hint="eastAsia" w:ascii="宋体" w:hAnsi="宋体"/>
          <w:sz w:val="22"/>
          <w:szCs w:val="22"/>
        </w:rPr>
        <w:t>（一）比选工作人员在开标前，接受参选银行递交的参选文件进行开标审查，并将开标记录和受理的参选文件移交评选委员会。</w:t>
      </w:r>
    </w:p>
    <w:p>
      <w:pPr>
        <w:spacing w:line="360" w:lineRule="auto"/>
        <w:rPr>
          <w:sz w:val="22"/>
          <w:szCs w:val="22"/>
        </w:rPr>
      </w:pPr>
      <w:r>
        <w:rPr>
          <w:rFonts w:hint="eastAsia"/>
          <w:sz w:val="22"/>
          <w:szCs w:val="22"/>
        </w:rPr>
        <w:t xml:space="preserve">    </w:t>
      </w:r>
      <w:r>
        <w:rPr>
          <w:rFonts w:hint="eastAsia" w:ascii="宋体" w:hAnsi="宋体"/>
          <w:sz w:val="22"/>
          <w:szCs w:val="22"/>
        </w:rPr>
        <w:t>（二）评选委员会根据比选文件的要求对参选银行进行符合性审查（初步性审查）。符合性审查未通过的参选文件为无效标。经评选委员会评审，参选文件被认定为无效标或废标的参选银行将不再进入下一阶段的详细评审。</w:t>
      </w:r>
    </w:p>
    <w:p>
      <w:pPr>
        <w:spacing w:line="360" w:lineRule="auto"/>
        <w:ind w:firstLine="420"/>
        <w:jc w:val="left"/>
        <w:rPr>
          <w:rFonts w:ascii="宋体" w:hAnsi="宋体"/>
          <w:sz w:val="22"/>
          <w:szCs w:val="22"/>
        </w:rPr>
      </w:pPr>
      <w:r>
        <w:rPr>
          <w:rFonts w:hint="eastAsia" w:ascii="宋体" w:hAnsi="宋体"/>
          <w:sz w:val="22"/>
          <w:szCs w:val="22"/>
        </w:rPr>
        <w:t>（三）评选委员会对照评分细则（详见下表）对所有通过符合性审查的参选银行进行综合打分。</w:t>
      </w:r>
    </w:p>
    <w:p>
      <w:pPr>
        <w:spacing w:line="360" w:lineRule="auto"/>
        <w:ind w:firstLine="420"/>
        <w:jc w:val="left"/>
        <w:rPr>
          <w:rFonts w:ascii="宋体" w:hAnsi="宋体"/>
          <w:sz w:val="22"/>
          <w:szCs w:val="22"/>
        </w:rPr>
      </w:pPr>
      <w:r>
        <w:rPr>
          <w:rFonts w:hint="eastAsia" w:ascii="宋体" w:hAnsi="宋体"/>
          <w:sz w:val="22"/>
          <w:szCs w:val="22"/>
        </w:rPr>
        <w:t>评分细则：</w:t>
      </w:r>
    </w:p>
    <w:tbl>
      <w:tblPr>
        <w:tblStyle w:val="10"/>
        <w:tblW w:w="10490" w:type="dxa"/>
        <w:tblInd w:w="-884" w:type="dxa"/>
        <w:tblLayout w:type="fixed"/>
        <w:tblCellMar>
          <w:top w:w="0" w:type="dxa"/>
          <w:left w:w="108" w:type="dxa"/>
          <w:bottom w:w="0" w:type="dxa"/>
          <w:right w:w="108" w:type="dxa"/>
        </w:tblCellMar>
      </w:tblPr>
      <w:tblGrid>
        <w:gridCol w:w="283"/>
        <w:gridCol w:w="851"/>
        <w:gridCol w:w="992"/>
        <w:gridCol w:w="426"/>
        <w:gridCol w:w="425"/>
        <w:gridCol w:w="7513"/>
      </w:tblGrid>
      <w:tr>
        <w:tblPrEx>
          <w:tblCellMar>
            <w:top w:w="0" w:type="dxa"/>
            <w:left w:w="108" w:type="dxa"/>
            <w:bottom w:w="0" w:type="dxa"/>
            <w:right w:w="108" w:type="dxa"/>
          </w:tblCellMar>
        </w:tblPrEx>
        <w:trPr>
          <w:trHeight w:val="501" w:hRule="atLeast"/>
        </w:trPr>
        <w:tc>
          <w:tcPr>
            <w:tcW w:w="28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序号</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评标</w:t>
            </w:r>
          </w:p>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指标</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指标说明</w:t>
            </w:r>
          </w:p>
        </w:tc>
        <w:tc>
          <w:tcPr>
            <w:tcW w:w="851"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权重</w:t>
            </w:r>
          </w:p>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（分数）</w:t>
            </w:r>
          </w:p>
        </w:tc>
        <w:tc>
          <w:tcPr>
            <w:tcW w:w="7513"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b/>
                <w:bCs/>
                <w:color w:val="000000"/>
                <w:kern w:val="0"/>
                <w:sz w:val="18"/>
                <w:szCs w:val="18"/>
              </w:rPr>
            </w:pPr>
            <w:r>
              <w:rPr>
                <w:rFonts w:hint="eastAsia" w:ascii="宋体" w:hAnsi="宋体" w:eastAsia="宋体" w:cs="Times New Roman"/>
                <w:b/>
                <w:bCs/>
                <w:color w:val="000000"/>
                <w:kern w:val="0"/>
                <w:sz w:val="18"/>
                <w:szCs w:val="18"/>
              </w:rPr>
              <w:t>评分标准</w:t>
            </w:r>
          </w:p>
        </w:tc>
      </w:tr>
      <w:tr>
        <w:tblPrEx>
          <w:tblCellMar>
            <w:top w:w="0" w:type="dxa"/>
            <w:left w:w="108" w:type="dxa"/>
            <w:bottom w:w="0" w:type="dxa"/>
            <w:right w:w="108" w:type="dxa"/>
          </w:tblCellMar>
        </w:tblPrEx>
        <w:trPr>
          <w:trHeight w:val="424"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资产实力和资本安全</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反映银行资产质量、偿付能力、运营能力、内部控制等</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15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5 </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资产规模：经统计参选银行深圳分行2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度资产规模，采用分五档计算分数。资产规模≥10000亿以上的得5分；7500亿≤资产规模＜10000亿得4分；5000亿≤资产规模＜7500亿得3分；2500亿≤资产规模＜5000亿得2分，0≤资产规模＜2500亿得1分。采用上年度末各银行深圳分行财务报表并加盖公章。</w:t>
            </w:r>
          </w:p>
        </w:tc>
      </w:tr>
      <w:tr>
        <w:tblPrEx>
          <w:tblCellMar>
            <w:top w:w="0" w:type="dxa"/>
            <w:left w:w="108" w:type="dxa"/>
            <w:bottom w:w="0" w:type="dxa"/>
            <w:right w:w="108" w:type="dxa"/>
          </w:tblCellMar>
        </w:tblPrEx>
        <w:trPr>
          <w:trHeight w:val="585" w:hRule="atLeast"/>
        </w:trPr>
        <w:tc>
          <w:tcPr>
            <w:tcW w:w="283" w:type="dxa"/>
            <w:vMerge w:val="continue"/>
            <w:tcBorders>
              <w:left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5 </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拨备覆盖率：2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年末总行拨备覆盖率≥150%得5分，140%≤拨备覆盖率＜150%得4分，130%≤拨备覆盖率＜140%得3分，120%≤拨备覆盖率＜130%得2分，拨备覆盖率＜120%得1分。</w:t>
            </w:r>
          </w:p>
        </w:tc>
      </w:tr>
      <w:tr>
        <w:tblPrEx>
          <w:tblCellMar>
            <w:top w:w="0" w:type="dxa"/>
            <w:left w:w="108" w:type="dxa"/>
            <w:bottom w:w="0" w:type="dxa"/>
            <w:right w:w="108" w:type="dxa"/>
          </w:tblCellMar>
        </w:tblPrEx>
        <w:trPr>
          <w:trHeight w:val="90" w:hRule="atLeast"/>
        </w:trPr>
        <w:tc>
          <w:tcPr>
            <w:tcW w:w="28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5 </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资本充足率：2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年末总行资本充足率≥13.5%得5分，12.5%≤资本充足率＜13.5%得4分，11.5%≤资本充足率＜12.5%得3分，10.5%≤资本充足率＜11.5%得2分，资本充足率＜10.5%得1分</w:t>
            </w:r>
          </w:p>
        </w:tc>
      </w:tr>
      <w:tr>
        <w:tblPrEx>
          <w:tblCellMar>
            <w:top w:w="0" w:type="dxa"/>
            <w:left w:w="108" w:type="dxa"/>
            <w:bottom w:w="0" w:type="dxa"/>
            <w:right w:w="108" w:type="dxa"/>
          </w:tblCellMar>
        </w:tblPrEx>
        <w:trPr>
          <w:trHeight w:val="62" w:hRule="atLeast"/>
        </w:trPr>
        <w:tc>
          <w:tcPr>
            <w:tcW w:w="283" w:type="dxa"/>
            <w:tcBorders>
              <w:top w:val="nil"/>
              <w:left w:val="single" w:color="auto" w:sz="4" w:space="0"/>
              <w:bottom w:val="nil"/>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银行总部经济及税收贡献</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反映银行总部是否在深圳及缴纳税款情况</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10</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银行总部是否在深圳辖区，属于深圳辖区得2分，不属于不得分</w:t>
            </w:r>
          </w:p>
        </w:tc>
      </w:tr>
      <w:tr>
        <w:tblPrEx>
          <w:tblCellMar>
            <w:top w:w="0" w:type="dxa"/>
            <w:left w:w="108" w:type="dxa"/>
            <w:bottom w:w="0" w:type="dxa"/>
            <w:right w:w="108" w:type="dxa"/>
          </w:tblCellMar>
        </w:tblPrEx>
        <w:trPr>
          <w:trHeight w:val="960" w:hRule="atLeast"/>
        </w:trPr>
        <w:tc>
          <w:tcPr>
            <w:tcW w:w="283" w:type="dxa"/>
            <w:tcBorders>
              <w:top w:val="nil"/>
              <w:left w:val="single" w:color="auto" w:sz="4" w:space="0"/>
              <w:bottom w:val="single" w:color="000000"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8</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经统计参选银行2</w:t>
            </w:r>
            <w:r>
              <w:rPr>
                <w:rFonts w:ascii="宋体" w:hAnsi="宋体" w:eastAsia="宋体" w:cs="Times New Roman"/>
                <w:color w:val="000000"/>
                <w:kern w:val="0"/>
                <w:sz w:val="18"/>
                <w:szCs w:val="18"/>
              </w:rPr>
              <w:t>019</w:t>
            </w:r>
            <w:r>
              <w:rPr>
                <w:rFonts w:hint="eastAsia" w:ascii="宋体" w:hAnsi="宋体" w:eastAsia="宋体" w:cs="Times New Roman"/>
                <w:color w:val="000000"/>
                <w:kern w:val="0"/>
                <w:sz w:val="18"/>
                <w:szCs w:val="18"/>
              </w:rPr>
              <w:t>年度在深圳缴纳增值税、企业所得税和个人所得税（含代扣代缴 ）的规模情况，求出平均值（四舍五入取整）然后分三档计算分数。纳税额最高的银行，计8分；最高金额*0.5 ≤纳税额＜最高金额，计6分； 0＜纳税额≤最高金额*0.5，计分4分。</w:t>
            </w:r>
          </w:p>
        </w:tc>
      </w:tr>
      <w:tr>
        <w:tblPrEx>
          <w:tblCellMar>
            <w:top w:w="0" w:type="dxa"/>
            <w:left w:w="108" w:type="dxa"/>
            <w:bottom w:w="0" w:type="dxa"/>
            <w:right w:w="108" w:type="dxa"/>
          </w:tblCellMar>
        </w:tblPrEx>
        <w:trPr>
          <w:trHeight w:val="263"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3</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银企合作规模</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反映银行发放贷款规模、按揭放款、认购债券、购买理财产品等情况</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 xml:space="preserve">25 </w:t>
            </w: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贷款规模：2018年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w:t>
            </w:r>
            <w:r>
              <w:rPr>
                <w:rFonts w:hint="eastAsia" w:ascii="宋体" w:hAnsi="宋体" w:eastAsia="宋体" w:cs="Times New Roman"/>
                <w:color w:val="000000"/>
                <w:kern w:val="0"/>
                <w:sz w:val="18"/>
                <w:szCs w:val="18"/>
                <w:lang w:val="en-US" w:eastAsia="zh-CN"/>
              </w:rPr>
              <w:t>1</w:t>
            </w:r>
            <w:r>
              <w:rPr>
                <w:rFonts w:hint="eastAsia" w:ascii="宋体" w:hAnsi="宋体" w:eastAsia="宋体" w:cs="Times New Roman"/>
                <w:color w:val="000000"/>
                <w:kern w:val="0"/>
                <w:sz w:val="18"/>
                <w:szCs w:val="18"/>
              </w:rPr>
              <w:t>日-2020年4月30日期间累计为集团本部提供贷款额。百分比=贷款额/单一银行最高贷款额。百分比等于100%得5分，80%≤百分比＜100%得4分，50%≤百分比＜80%得3分，20%≤百分比＜50%得2分，0＜百分比＜20%得1分，未发放贷款不得分。</w:t>
            </w:r>
          </w:p>
        </w:tc>
      </w:tr>
      <w:tr>
        <w:tblPrEx>
          <w:tblCellMar>
            <w:top w:w="0" w:type="dxa"/>
            <w:left w:w="108" w:type="dxa"/>
            <w:bottom w:w="0" w:type="dxa"/>
            <w:right w:w="108" w:type="dxa"/>
          </w:tblCellMar>
        </w:tblPrEx>
        <w:trPr>
          <w:trHeight w:val="263" w:hRule="atLeast"/>
        </w:trPr>
        <w:tc>
          <w:tcPr>
            <w:tcW w:w="283" w:type="dxa"/>
            <w:vMerge w:val="continue"/>
            <w:tcBorders>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noWrap/>
            <w:vAlign w:val="center"/>
          </w:tcPr>
          <w:p>
            <w:pPr>
              <w:widowControl/>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贷款余额：截止2020年4月30日集团本部贷款余额：百分比=贷款余额/单一银行最高余额。百分比等于100%得5分，80%≤百分比＜100%得4分，50%≤百分比＜80%得3分，20%≤百分比＜50%得2分，0＜百分比＜20%得1分，贷款余额为0不得分。</w:t>
            </w:r>
          </w:p>
        </w:tc>
      </w:tr>
      <w:tr>
        <w:tblPrEx>
          <w:tblCellMar>
            <w:top w:w="0" w:type="dxa"/>
            <w:left w:w="108" w:type="dxa"/>
            <w:bottom w:w="0" w:type="dxa"/>
            <w:right w:w="108" w:type="dxa"/>
          </w:tblCellMar>
        </w:tblPrEx>
        <w:trPr>
          <w:trHeight w:val="750" w:hRule="atLeast"/>
        </w:trPr>
        <w:tc>
          <w:tcPr>
            <w:tcW w:w="283" w:type="dxa"/>
            <w:vMerge w:val="continue"/>
            <w:tcBorders>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按揭放款：2018年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w:t>
            </w:r>
            <w:r>
              <w:rPr>
                <w:rFonts w:hint="eastAsia" w:ascii="宋体" w:hAnsi="宋体" w:eastAsia="宋体" w:cs="Times New Roman"/>
                <w:color w:val="000000"/>
                <w:kern w:val="0"/>
                <w:sz w:val="18"/>
                <w:szCs w:val="18"/>
                <w:lang w:val="en-US" w:eastAsia="zh-CN"/>
              </w:rPr>
              <w:t>1</w:t>
            </w:r>
            <w:r>
              <w:rPr>
                <w:rFonts w:hint="eastAsia" w:ascii="宋体" w:hAnsi="宋体" w:eastAsia="宋体" w:cs="Times New Roman"/>
                <w:color w:val="000000"/>
                <w:kern w:val="0"/>
                <w:sz w:val="18"/>
                <w:szCs w:val="18"/>
              </w:rPr>
              <w:t>日-2020年4月30日期间累计为集团公司提供按揭放款额。百分比=按揭放款额/单一银行最高放款额。百分比等于100%得5分，80%≤百分比＜100%得4分，50%≤百分比＜80%得3分，20%≤百分比＜50%得2分，0＜百分比＜20%得1分，未有按揭放款不得分</w:t>
            </w:r>
          </w:p>
        </w:tc>
      </w:tr>
      <w:tr>
        <w:tblPrEx>
          <w:tblCellMar>
            <w:top w:w="0" w:type="dxa"/>
            <w:left w:w="108" w:type="dxa"/>
            <w:bottom w:w="0" w:type="dxa"/>
            <w:right w:w="108" w:type="dxa"/>
          </w:tblCellMar>
        </w:tblPrEx>
        <w:trPr>
          <w:trHeight w:val="1061" w:hRule="atLeast"/>
        </w:trPr>
        <w:tc>
          <w:tcPr>
            <w:tcW w:w="283" w:type="dxa"/>
            <w:vMerge w:val="continue"/>
            <w:tcBorders>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right w:val="single" w:color="auto" w:sz="4" w:space="0"/>
            </w:tcBorders>
            <w:noWrap/>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债券认购：2018年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参与集团本部发行债券的认购金额。债券认购度=债券认购金额/单一银行最高认购额，认购债券的银行需提供相关认购书面证明。认购度等于100%得5分，80%≤认购度＜100%得4分，50%≤认购度＜80%得3分，20%≤认购度＜50%得2分，0＜认购度＜20%得1分，未认购不得分</w:t>
            </w:r>
          </w:p>
        </w:tc>
      </w:tr>
      <w:tr>
        <w:tblPrEx>
          <w:tblCellMar>
            <w:top w:w="0" w:type="dxa"/>
            <w:left w:w="108" w:type="dxa"/>
            <w:bottom w:w="0" w:type="dxa"/>
            <w:right w:w="108" w:type="dxa"/>
          </w:tblCellMar>
        </w:tblPrEx>
        <w:trPr>
          <w:trHeight w:val="810" w:hRule="atLeast"/>
        </w:trPr>
        <w:tc>
          <w:tcPr>
            <w:tcW w:w="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理财认购：2018年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集团本部理财产品的认购金额。理财认购度=理财认购金额/单一银行最高认购额。认购度等于100%得5分，80%≤认购度＜100%得4分，50%≤认购度＜80%得3分，20%≤认购度＜50%得2分，0＜认购度＜20%得1分，未认购不得分</w:t>
            </w:r>
          </w:p>
        </w:tc>
      </w:tr>
      <w:tr>
        <w:tblPrEx>
          <w:tblCellMar>
            <w:top w:w="0" w:type="dxa"/>
            <w:left w:w="108" w:type="dxa"/>
            <w:bottom w:w="0" w:type="dxa"/>
            <w:right w:w="108" w:type="dxa"/>
          </w:tblCellMar>
        </w:tblPrEx>
        <w:trPr>
          <w:trHeight w:val="580"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4</w:t>
            </w:r>
          </w:p>
        </w:tc>
        <w:tc>
          <w:tcPr>
            <w:tcW w:w="851"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服务水平</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反映支付结算、对账等专业服务水平</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10</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费用减免：对集团及系统内企业提供的日常账户结算（管理）、结算、对账等提供服务，账户的账户开销变费用、账户年费、短信即时通、跨行手续费、询证函费用、网银管理费、保函查验费、ukey工本费、支票工本费是否已完成办理全免手续。</w:t>
            </w:r>
          </w:p>
        </w:tc>
      </w:tr>
      <w:tr>
        <w:tblPrEx>
          <w:tblCellMar>
            <w:top w:w="0" w:type="dxa"/>
            <w:left w:w="108" w:type="dxa"/>
            <w:bottom w:w="0" w:type="dxa"/>
            <w:right w:w="108" w:type="dxa"/>
          </w:tblCellMar>
        </w:tblPrEx>
        <w:trPr>
          <w:trHeight w:val="492" w:hRule="atLeast"/>
        </w:trPr>
        <w:tc>
          <w:tcPr>
            <w:tcW w:w="283" w:type="dxa"/>
            <w:vMerge w:val="continue"/>
            <w:tcBorders>
              <w:left w:val="single" w:color="auto" w:sz="4" w:space="0"/>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000000"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000000"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服务能力：为集团及系统内企业开通通知存款业务，如必须线下认购通知存款则不得分；可通过网银操作则得3分，如无需操作自动起息得5分。</w:t>
            </w:r>
          </w:p>
        </w:tc>
      </w:tr>
      <w:tr>
        <w:tblPrEx>
          <w:tblCellMar>
            <w:top w:w="0" w:type="dxa"/>
            <w:left w:w="108" w:type="dxa"/>
            <w:bottom w:w="0" w:type="dxa"/>
            <w:right w:w="108" w:type="dxa"/>
          </w:tblCellMar>
        </w:tblPrEx>
        <w:trPr>
          <w:trHeight w:val="1281" w:hRule="atLeast"/>
        </w:trPr>
        <w:tc>
          <w:tcPr>
            <w:tcW w:w="283" w:type="dxa"/>
            <w:vMerge w:val="restart"/>
            <w:tcBorders>
              <w:top w:val="nil"/>
              <w:left w:val="single" w:color="auto" w:sz="4" w:space="0"/>
              <w:right w:val="single" w:color="auto" w:sz="4" w:space="0"/>
            </w:tcBorders>
            <w:noWrap/>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5</w:t>
            </w:r>
          </w:p>
        </w:tc>
        <w:tc>
          <w:tcPr>
            <w:tcW w:w="851" w:type="dxa"/>
            <w:vMerge w:val="restart"/>
            <w:tcBorders>
              <w:top w:val="single" w:color="auto" w:sz="4" w:space="0"/>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资金业务参与度</w:t>
            </w:r>
          </w:p>
        </w:tc>
        <w:tc>
          <w:tcPr>
            <w:tcW w:w="992" w:type="dxa"/>
            <w:vMerge w:val="restart"/>
            <w:tcBorders>
              <w:top w:val="nil"/>
              <w:left w:val="nil"/>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反映银行参与资金业务和债券认购的情况</w:t>
            </w:r>
          </w:p>
        </w:tc>
        <w:tc>
          <w:tcPr>
            <w:tcW w:w="426" w:type="dxa"/>
            <w:vMerge w:val="restart"/>
            <w:tcBorders>
              <w:top w:val="nil"/>
              <w:left w:val="nil"/>
              <w:right w:val="single" w:color="auto" w:sz="4" w:space="0"/>
            </w:tcBorders>
            <w:noWrap/>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15</w:t>
            </w: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9</w:t>
            </w:r>
          </w:p>
        </w:tc>
        <w:tc>
          <w:tcPr>
            <w:tcW w:w="7513" w:type="dxa"/>
            <w:tcBorders>
              <w:top w:val="nil"/>
              <w:left w:val="nil"/>
              <w:bottom w:val="single" w:color="auto" w:sz="4" w:space="0"/>
              <w:right w:val="single" w:color="auto" w:sz="4" w:space="0"/>
            </w:tcBorders>
            <w:vAlign w:val="center"/>
          </w:tcPr>
          <w:p>
            <w:pPr>
              <w:widowControl/>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集团本部资金业务招标采购和债券认购的中标情况。按项目中标次数计分，百分比=中标次数/项目总数，百分比等于100%得9分，85%≤百分比＜100%得8分，70%≤百分比＜85%得7分，60%≤百分比＜70%得6分，50%≤百分比＜60%得5分，40%≤百分比＜50%得4分，30%≤百分比＜40%得3分，20%≤百分比＜30%得2分，0＜百分比＜20%得1分，未有中标不得分</w:t>
            </w:r>
          </w:p>
        </w:tc>
      </w:tr>
      <w:tr>
        <w:tblPrEx>
          <w:tblCellMar>
            <w:top w:w="0" w:type="dxa"/>
            <w:left w:w="108" w:type="dxa"/>
            <w:bottom w:w="0" w:type="dxa"/>
            <w:right w:w="108" w:type="dxa"/>
          </w:tblCellMar>
        </w:tblPrEx>
        <w:trPr>
          <w:trHeight w:val="70" w:hRule="atLeast"/>
        </w:trPr>
        <w:tc>
          <w:tcPr>
            <w:tcW w:w="283"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851" w:type="dxa"/>
            <w:vMerge w:val="continue"/>
            <w:tcBorders>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992" w:type="dxa"/>
            <w:vMerge w:val="continue"/>
            <w:tcBorders>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p>
        </w:tc>
        <w:tc>
          <w:tcPr>
            <w:tcW w:w="426" w:type="dxa"/>
            <w:vMerge w:val="continue"/>
            <w:tcBorders>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6</w:t>
            </w:r>
          </w:p>
        </w:tc>
        <w:tc>
          <w:tcPr>
            <w:tcW w:w="7513" w:type="dxa"/>
            <w:tcBorders>
              <w:top w:val="nil"/>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2018年</w:t>
            </w:r>
            <w:r>
              <w:rPr>
                <w:rFonts w:hint="eastAsia" w:ascii="宋体" w:hAnsi="宋体" w:eastAsia="宋体" w:cs="Times New Roman"/>
                <w:color w:val="000000"/>
                <w:kern w:val="0"/>
                <w:sz w:val="18"/>
                <w:szCs w:val="18"/>
                <w:lang w:val="en-US" w:eastAsia="zh-CN"/>
              </w:rPr>
              <w:t>5</w:t>
            </w:r>
            <w:r>
              <w:rPr>
                <w:rFonts w:hint="eastAsia" w:ascii="宋体" w:hAnsi="宋体" w:eastAsia="宋体" w:cs="Times New Roman"/>
                <w:color w:val="000000"/>
                <w:kern w:val="0"/>
                <w:sz w:val="18"/>
                <w:szCs w:val="18"/>
              </w:rPr>
              <w:t>月1日-2020年4月30日期间集团本部资金业务招标采购项目的参与程度。按项目参与次数计分，百分比=参与次数/项目总数。百分比等于100%得6分，80%≤百分比＜100%得5分，60%≤百分比＜80%得4分，40%≤百分比＜60%得3分，20%≤百分比＜40%得2分，0＜百分比＜20%得1分，未有参与不得分</w:t>
            </w:r>
          </w:p>
        </w:tc>
      </w:tr>
      <w:tr>
        <w:tblPrEx>
          <w:tblCellMar>
            <w:top w:w="0" w:type="dxa"/>
            <w:left w:w="108" w:type="dxa"/>
            <w:bottom w:w="0" w:type="dxa"/>
            <w:right w:w="108" w:type="dxa"/>
          </w:tblCellMar>
        </w:tblPrEx>
        <w:trPr>
          <w:trHeight w:val="378" w:hRule="atLeast"/>
        </w:trPr>
        <w:tc>
          <w:tcPr>
            <w:tcW w:w="2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6</w:t>
            </w:r>
          </w:p>
        </w:tc>
        <w:tc>
          <w:tcPr>
            <w:tcW w:w="851"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利率</w:t>
            </w:r>
          </w:p>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报价</w:t>
            </w:r>
          </w:p>
        </w:tc>
        <w:tc>
          <w:tcPr>
            <w:tcW w:w="992"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反映存款利率报价</w:t>
            </w:r>
          </w:p>
        </w:tc>
        <w:tc>
          <w:tcPr>
            <w:tcW w:w="426"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25</w:t>
            </w:r>
          </w:p>
        </w:tc>
        <w:tc>
          <w:tcPr>
            <w:tcW w:w="4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25</w:t>
            </w:r>
          </w:p>
        </w:tc>
        <w:tc>
          <w:tcPr>
            <w:tcW w:w="7513"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存款利率报价指用于该账户的通知存款利率（15分）和协定存款利率（10分），计分方式：存款利率报价/最优报价*相应分值,存款利率报价最高者为最优报价。</w:t>
            </w:r>
          </w:p>
        </w:tc>
      </w:tr>
    </w:tbl>
    <w:p>
      <w:pPr>
        <w:snapToGrid w:val="0"/>
        <w:spacing w:line="360" w:lineRule="auto"/>
        <w:ind w:firstLine="481"/>
        <w:outlineLvl w:val="9"/>
        <w:rPr>
          <w:rFonts w:ascii="宋体" w:hAnsi="宋体"/>
          <w:b/>
          <w:bCs/>
          <w:kern w:val="0"/>
          <w:sz w:val="22"/>
          <w:szCs w:val="22"/>
        </w:rPr>
      </w:pPr>
      <w:bookmarkStart w:id="188" w:name="_Toc8989"/>
      <w:bookmarkStart w:id="189" w:name="_Toc3434"/>
      <w:bookmarkStart w:id="190" w:name="_Toc6315"/>
      <w:bookmarkStart w:id="191" w:name="_Toc22837"/>
      <w:bookmarkStart w:id="192" w:name="_Toc14253"/>
      <w:bookmarkStart w:id="193" w:name="_Toc14634"/>
      <w:bookmarkStart w:id="194" w:name="_Toc18774"/>
      <w:bookmarkStart w:id="195" w:name="_Toc25349"/>
      <w:bookmarkStart w:id="196" w:name="_Toc28545"/>
      <w:r>
        <w:rPr>
          <w:rFonts w:hint="eastAsia" w:ascii="宋体" w:hAnsi="宋体"/>
          <w:b/>
          <w:bCs/>
          <w:kern w:val="0"/>
          <w:sz w:val="22"/>
          <w:szCs w:val="22"/>
        </w:rPr>
        <w:t>注释：上述评分细则中“集团本部”是指地铁集团公司总部范围，“集团公司”是指地铁集团总部及各分公司范围。</w:t>
      </w:r>
      <w:bookmarkEnd w:id="188"/>
      <w:bookmarkEnd w:id="189"/>
      <w:bookmarkEnd w:id="190"/>
      <w:bookmarkEnd w:id="191"/>
      <w:bookmarkEnd w:id="192"/>
      <w:bookmarkEnd w:id="193"/>
      <w:bookmarkEnd w:id="194"/>
      <w:bookmarkEnd w:id="195"/>
      <w:bookmarkEnd w:id="196"/>
    </w:p>
    <w:p>
      <w:pPr>
        <w:snapToGrid w:val="0"/>
        <w:spacing w:line="360" w:lineRule="auto"/>
        <w:ind w:firstLine="481"/>
        <w:outlineLvl w:val="1"/>
        <w:rPr>
          <w:rFonts w:ascii="宋体" w:hAnsi="宋体"/>
          <w:b/>
          <w:bCs/>
          <w:kern w:val="0"/>
          <w:sz w:val="24"/>
        </w:rPr>
      </w:pPr>
      <w:bookmarkStart w:id="197" w:name="_Toc28796"/>
      <w:bookmarkStart w:id="198" w:name="_Toc5570"/>
      <w:bookmarkStart w:id="199" w:name="_Toc8636"/>
      <w:bookmarkStart w:id="200" w:name="_Toc15509"/>
      <w:bookmarkStart w:id="201" w:name="_Toc25841"/>
      <w:bookmarkStart w:id="202" w:name="_Toc11908"/>
      <w:bookmarkStart w:id="203" w:name="_Toc21341"/>
      <w:bookmarkStart w:id="204" w:name="_Toc7685"/>
      <w:bookmarkStart w:id="205" w:name="_Toc27883"/>
      <w:r>
        <w:rPr>
          <w:rFonts w:hint="eastAsia" w:asciiTheme="majorEastAsia" w:hAnsiTheme="majorEastAsia" w:eastAsiaTheme="majorEastAsia" w:cstheme="majorEastAsia"/>
          <w:b/>
          <w:bCs/>
          <w:kern w:val="0"/>
          <w:sz w:val="24"/>
        </w:rPr>
        <w:t>十</w:t>
      </w:r>
      <w:r>
        <w:rPr>
          <w:rFonts w:hint="eastAsia" w:asciiTheme="majorEastAsia" w:hAnsiTheme="majorEastAsia" w:eastAsiaTheme="majorEastAsia" w:cstheme="majorEastAsia"/>
          <w:b/>
          <w:bCs/>
          <w:kern w:val="0"/>
          <w:sz w:val="24"/>
          <w:lang w:val="en-US" w:eastAsia="zh-CN"/>
        </w:rPr>
        <w:t>一</w:t>
      </w:r>
      <w:r>
        <w:rPr>
          <w:rFonts w:hint="eastAsia" w:asciiTheme="majorEastAsia" w:hAnsiTheme="majorEastAsia" w:eastAsiaTheme="majorEastAsia" w:cstheme="majorEastAsia"/>
          <w:b/>
          <w:bCs/>
          <w:kern w:val="0"/>
          <w:sz w:val="24"/>
        </w:rPr>
        <w:t>、确定中选人</w:t>
      </w:r>
      <w:bookmarkEnd w:id="197"/>
      <w:bookmarkEnd w:id="198"/>
      <w:bookmarkEnd w:id="199"/>
      <w:bookmarkEnd w:id="200"/>
      <w:bookmarkEnd w:id="201"/>
      <w:bookmarkEnd w:id="202"/>
      <w:bookmarkEnd w:id="203"/>
      <w:bookmarkEnd w:id="204"/>
      <w:bookmarkEnd w:id="205"/>
    </w:p>
    <w:p>
      <w:pPr>
        <w:snapToGrid w:val="0"/>
        <w:spacing w:line="360" w:lineRule="auto"/>
        <w:ind w:firstLine="481"/>
        <w:outlineLvl w:val="9"/>
        <w:rPr>
          <w:rFonts w:hint="eastAsia" w:asciiTheme="minorEastAsia" w:hAnsiTheme="minorEastAsia" w:eastAsiaTheme="minorEastAsia" w:cstheme="minorEastAsia"/>
          <w:b/>
          <w:bCs/>
          <w:kern w:val="0"/>
          <w:sz w:val="22"/>
          <w:szCs w:val="22"/>
        </w:rPr>
      </w:pPr>
      <w:bookmarkStart w:id="206" w:name="_Toc7533"/>
      <w:bookmarkStart w:id="207" w:name="_Toc18791"/>
      <w:bookmarkStart w:id="208" w:name="_Toc23669"/>
      <w:bookmarkStart w:id="209" w:name="_Toc14768"/>
      <w:bookmarkStart w:id="210" w:name="_Toc76"/>
      <w:bookmarkStart w:id="211" w:name="_Toc145"/>
      <w:bookmarkStart w:id="212" w:name="_Toc6567"/>
      <w:bookmarkStart w:id="213" w:name="_Toc17918"/>
      <w:bookmarkStart w:id="214" w:name="_Toc208"/>
      <w:r>
        <w:rPr>
          <w:rFonts w:hint="eastAsia" w:ascii="宋体" w:hAnsi="宋体"/>
          <w:b/>
          <w:bCs/>
          <w:kern w:val="0"/>
          <w:sz w:val="22"/>
          <w:szCs w:val="22"/>
        </w:rPr>
        <w:t>本项目的通过综合评分法确定中选银行，按照指标计算综合评分。</w:t>
      </w:r>
      <w:r>
        <w:rPr>
          <w:rFonts w:ascii="宋体" w:hAnsi="宋体"/>
          <w:b/>
          <w:bCs/>
          <w:kern w:val="0"/>
          <w:sz w:val="22"/>
          <w:szCs w:val="22"/>
        </w:rPr>
        <w:t>选择评分顺序最靠前且属于财政专户比选范围内的银行作为专项债账户所在银行；其次，去掉已经选择的专项债账户银行后，选择排名最靠前且可办理住房公积金缴存业务的银行，作为住房公积金缴存银行。</w:t>
      </w:r>
      <w:r>
        <w:rPr>
          <w:rFonts w:hint="eastAsia" w:asciiTheme="minorEastAsia" w:hAnsiTheme="minorEastAsia" w:eastAsiaTheme="minorEastAsia" w:cstheme="minorEastAsia"/>
          <w:b/>
          <w:bCs/>
          <w:kern w:val="0"/>
          <w:sz w:val="22"/>
          <w:szCs w:val="22"/>
        </w:rPr>
        <w:t>在评分相同的情况下，抽签决定银行选择的顺序。</w:t>
      </w:r>
      <w:bookmarkEnd w:id="206"/>
      <w:bookmarkEnd w:id="207"/>
      <w:bookmarkEnd w:id="208"/>
      <w:bookmarkEnd w:id="209"/>
      <w:bookmarkEnd w:id="210"/>
      <w:bookmarkEnd w:id="211"/>
      <w:bookmarkEnd w:id="212"/>
      <w:bookmarkEnd w:id="213"/>
      <w:bookmarkEnd w:id="214"/>
      <w:bookmarkStart w:id="215" w:name="_Toc370"/>
      <w:bookmarkStart w:id="216" w:name="_Toc3821"/>
      <w:bookmarkStart w:id="217" w:name="_Toc756"/>
      <w:bookmarkStart w:id="218" w:name="_Toc30228"/>
      <w:bookmarkStart w:id="219" w:name="_Toc12857"/>
      <w:bookmarkStart w:id="220" w:name="_Toc20390"/>
      <w:bookmarkStart w:id="221" w:name="_Toc29921"/>
      <w:bookmarkStart w:id="222" w:name="_Toc1647"/>
      <w:bookmarkStart w:id="223" w:name="_Toc20911"/>
    </w:p>
    <w:p>
      <w:pPr>
        <w:snapToGrid w:val="0"/>
        <w:spacing w:line="360" w:lineRule="auto"/>
        <w:ind w:firstLine="481"/>
        <w:outlineLvl w:val="9"/>
        <w:rPr>
          <w:rFonts w:ascii="宋体" w:hAnsi="宋体"/>
          <w:b/>
          <w:bCs/>
          <w:kern w:val="0"/>
          <w:sz w:val="22"/>
          <w:szCs w:val="22"/>
        </w:rPr>
      </w:pPr>
      <w:r>
        <w:rPr>
          <w:rFonts w:hint="eastAsia" w:ascii="宋体" w:hAnsi="宋体"/>
          <w:b/>
          <w:bCs/>
          <w:kern w:val="0"/>
          <w:sz w:val="22"/>
          <w:szCs w:val="22"/>
        </w:rPr>
        <w:t>举例：若可开立账户数量余一，相同分数的参选银行三家，则设置“1”、“2”、“3”共三个数字签，由参选银行进行抽取，抽中“1”号数字签的参选银行为中选银行，按</w:t>
      </w:r>
      <w:r>
        <w:rPr>
          <w:rFonts w:hint="eastAsia" w:ascii="宋体" w:hAnsi="宋体"/>
          <w:b/>
          <w:bCs/>
          <w:kern w:val="0"/>
          <w:sz w:val="22"/>
          <w:szCs w:val="22"/>
          <w:lang w:val="en-US" w:eastAsia="zh-CN"/>
        </w:rPr>
        <w:t>数字签</w:t>
      </w:r>
      <w:r>
        <w:rPr>
          <w:rFonts w:hint="eastAsia" w:ascii="宋体" w:hAnsi="宋体"/>
          <w:b/>
          <w:bCs/>
          <w:kern w:val="0"/>
          <w:sz w:val="22"/>
          <w:szCs w:val="22"/>
        </w:rPr>
        <w:t>排名顺序作为替补银行。</w:t>
      </w:r>
      <w:bookmarkEnd w:id="215"/>
      <w:bookmarkEnd w:id="216"/>
      <w:bookmarkEnd w:id="217"/>
      <w:bookmarkEnd w:id="218"/>
      <w:bookmarkEnd w:id="219"/>
      <w:bookmarkEnd w:id="220"/>
      <w:bookmarkEnd w:id="221"/>
      <w:bookmarkEnd w:id="222"/>
      <w:bookmarkEnd w:id="223"/>
    </w:p>
    <w:p>
      <w:pPr>
        <w:pStyle w:val="7"/>
        <w:snapToGrid w:val="0"/>
        <w:spacing w:line="360" w:lineRule="auto"/>
        <w:ind w:firstLine="482" w:firstLineChars="200"/>
        <w:outlineLvl w:val="1"/>
        <w:rPr>
          <w:rFonts w:hAnsi="宋体"/>
          <w:b/>
          <w:snapToGrid w:val="0"/>
          <w:sz w:val="24"/>
        </w:rPr>
      </w:pPr>
      <w:bookmarkStart w:id="224" w:name="_Toc402782177"/>
      <w:bookmarkStart w:id="225" w:name="_Toc25186"/>
      <w:r>
        <w:rPr>
          <w:rFonts w:hint="eastAsia" w:asciiTheme="majorEastAsia" w:hAnsiTheme="majorEastAsia" w:eastAsiaTheme="majorEastAsia" w:cstheme="majorEastAsia"/>
          <w:b/>
          <w:bCs/>
          <w:snapToGrid/>
          <w:sz w:val="24"/>
        </w:rPr>
        <w:t>十</w:t>
      </w:r>
      <w:r>
        <w:rPr>
          <w:rFonts w:hint="eastAsia" w:asciiTheme="majorEastAsia" w:hAnsiTheme="majorEastAsia" w:eastAsiaTheme="majorEastAsia" w:cstheme="majorEastAsia"/>
          <w:b/>
          <w:bCs/>
          <w:snapToGrid/>
          <w:sz w:val="24"/>
          <w:lang w:val="en-US" w:eastAsia="zh-CN"/>
        </w:rPr>
        <w:t>二</w:t>
      </w:r>
      <w:r>
        <w:rPr>
          <w:rFonts w:hint="eastAsia" w:asciiTheme="majorEastAsia" w:hAnsiTheme="majorEastAsia" w:eastAsiaTheme="majorEastAsia" w:cstheme="majorEastAsia"/>
          <w:b/>
          <w:bCs/>
          <w:snapToGrid/>
          <w:sz w:val="24"/>
        </w:rPr>
        <w:t>、</w:t>
      </w:r>
      <w:bookmarkEnd w:id="224"/>
      <w:r>
        <w:rPr>
          <w:rFonts w:hint="eastAsia" w:asciiTheme="majorEastAsia" w:hAnsiTheme="majorEastAsia" w:eastAsiaTheme="majorEastAsia" w:cstheme="majorEastAsia"/>
          <w:b/>
          <w:bCs/>
          <w:snapToGrid/>
          <w:sz w:val="24"/>
        </w:rPr>
        <w:t>办理相关业务</w:t>
      </w:r>
      <w:bookmarkEnd w:id="225"/>
    </w:p>
    <w:p>
      <w:pPr>
        <w:pStyle w:val="7"/>
        <w:snapToGrid w:val="0"/>
        <w:spacing w:line="360" w:lineRule="auto"/>
        <w:ind w:firstLine="440" w:firstLineChars="200"/>
        <w:rPr>
          <w:rFonts w:hint="eastAsia" w:asciiTheme="minorEastAsia" w:hAnsiTheme="minorEastAsia" w:eastAsiaTheme="minorEastAsia" w:cstheme="minorEastAsia"/>
          <w:snapToGrid w:val="0"/>
          <w:sz w:val="22"/>
          <w:szCs w:val="22"/>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snapToGrid w:val="0"/>
          <w:sz w:val="22"/>
          <w:szCs w:val="22"/>
        </w:rPr>
        <w:t>比选人确定中选人后，将按照参选文件及相关项目文件在中选人处办理相关业务，如中选人不按其参选文件或无法办理其参选时承诺的业务优惠，则比选人将有权撤销中选结果，并保留要求中选人赔偿损失、承担相应法律责任的权利，并按评分由高至低依次顺延至下一参选银行。</w:t>
      </w:r>
    </w:p>
    <w:p>
      <w:pPr>
        <w:spacing w:line="360" w:lineRule="auto"/>
        <w:ind w:firstLine="0" w:firstLineChars="0"/>
        <w:jc w:val="left"/>
        <w:outlineLvl w:val="9"/>
        <w:rPr>
          <w:rFonts w:ascii="宋体" w:hAnsi="宋体"/>
          <w:b/>
          <w:bCs/>
          <w:sz w:val="24"/>
        </w:rPr>
      </w:pPr>
      <w:bookmarkStart w:id="226" w:name="_Toc399494431"/>
      <w:bookmarkStart w:id="227" w:name="_Toc18339"/>
      <w:bookmarkStart w:id="228" w:name="_Toc5210"/>
      <w:bookmarkStart w:id="229" w:name="_Toc13217"/>
      <w:r>
        <w:rPr>
          <w:rFonts w:hint="eastAsia" w:ascii="宋体" w:hAnsi="宋体"/>
          <w:b/>
          <w:sz w:val="24"/>
        </w:rPr>
        <w:t>附表1：</w:t>
      </w:r>
      <w:bookmarkEnd w:id="226"/>
      <w:r>
        <w:rPr>
          <w:rFonts w:hint="eastAsia" w:ascii="宋体" w:hAnsi="宋体"/>
          <w:b/>
          <w:bCs/>
          <w:sz w:val="24"/>
        </w:rPr>
        <w:t>参选人简称表</w:t>
      </w:r>
      <w:bookmarkEnd w:id="227"/>
      <w:bookmarkEnd w:id="228"/>
      <w:bookmarkEnd w:id="229"/>
    </w:p>
    <w:p>
      <w:pPr>
        <w:spacing w:line="480" w:lineRule="atLeast"/>
        <w:ind w:firstLine="597" w:firstLineChars="249"/>
        <w:rPr>
          <w:rFonts w:ascii="宋体" w:hAnsi="宋体"/>
          <w:sz w:val="24"/>
        </w:rPr>
      </w:pPr>
    </w:p>
    <w:p>
      <w:pPr>
        <w:spacing w:line="480" w:lineRule="atLeast"/>
        <w:jc w:val="center"/>
        <w:rPr>
          <w:rFonts w:ascii="宋体" w:hAnsi="宋体" w:cs="宋体"/>
          <w:b/>
          <w:bCs/>
          <w:kern w:val="0"/>
          <w:sz w:val="32"/>
          <w:szCs w:val="32"/>
        </w:rPr>
      </w:pPr>
      <w:r>
        <w:rPr>
          <w:rFonts w:hint="eastAsia" w:ascii="宋体" w:hAnsi="宋体" w:cs="宋体"/>
          <w:b/>
          <w:bCs/>
          <w:kern w:val="0"/>
          <w:sz w:val="32"/>
          <w:szCs w:val="32"/>
        </w:rPr>
        <w:t>参选人简称表</w:t>
      </w:r>
    </w:p>
    <w:p>
      <w:pPr>
        <w:spacing w:after="120" w:afterLines="50" w:line="480" w:lineRule="atLeast"/>
        <w:jc w:val="right"/>
        <w:rPr>
          <w:rFonts w:ascii="宋体" w:hAnsi="宋体"/>
          <w:sz w:val="24"/>
          <w:szCs w:val="24"/>
        </w:rPr>
      </w:pPr>
      <w:r>
        <w:rPr>
          <w:rFonts w:hint="eastAsia" w:ascii="宋体" w:hAnsi="宋体"/>
          <w:sz w:val="24"/>
          <w:szCs w:val="24"/>
        </w:rPr>
        <w:t>日期：       年      月     日</w:t>
      </w:r>
    </w:p>
    <w:tbl>
      <w:tblPr>
        <w:tblStyle w:val="10"/>
        <w:tblW w:w="9163" w:type="dxa"/>
        <w:jc w:val="center"/>
        <w:tblLayout w:type="fixed"/>
        <w:tblCellMar>
          <w:top w:w="0" w:type="dxa"/>
          <w:left w:w="0" w:type="dxa"/>
          <w:bottom w:w="0" w:type="dxa"/>
          <w:right w:w="0" w:type="dxa"/>
        </w:tblCellMar>
      </w:tblPr>
      <w:tblGrid>
        <w:gridCol w:w="722"/>
        <w:gridCol w:w="2887"/>
        <w:gridCol w:w="1913"/>
        <w:gridCol w:w="1881"/>
        <w:gridCol w:w="1760"/>
      </w:tblGrid>
      <w:tr>
        <w:tblPrEx>
          <w:tblCellMar>
            <w:top w:w="0" w:type="dxa"/>
            <w:left w:w="0" w:type="dxa"/>
            <w:bottom w:w="0" w:type="dxa"/>
            <w:right w:w="0" w:type="dxa"/>
          </w:tblCellMar>
        </w:tblPrEx>
        <w:trPr>
          <w:trHeight w:val="7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序号</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参选人全称</w:t>
            </w: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参选人简称</w:t>
            </w: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参选人签字</w:t>
            </w:r>
          </w:p>
        </w:tc>
        <w:tc>
          <w:tcPr>
            <w:tcW w:w="1760"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58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1</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564"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2</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1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3</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7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ascii="宋体" w:hAnsi="宋体" w:cs="Arial"/>
                <w:kern w:val="0"/>
                <w:sz w:val="24"/>
              </w:rPr>
              <w:t>4</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5</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6</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7</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8</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9</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hint="default" w:ascii="宋体" w:hAnsi="宋体" w:cs="Arial" w:eastAsiaTheme="minorEastAsia"/>
                <w:kern w:val="0"/>
                <w:sz w:val="24"/>
                <w:lang w:val="en-US" w:eastAsia="zh-CN"/>
              </w:rPr>
            </w:pPr>
            <w:r>
              <w:rPr>
                <w:rFonts w:hint="eastAsia" w:ascii="宋体" w:hAnsi="宋体" w:cs="Arial"/>
                <w:kern w:val="0"/>
                <w:sz w:val="24"/>
                <w:lang w:val="en-US" w:eastAsia="zh-CN"/>
              </w:rPr>
              <w:t>10</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hint="default" w:ascii="宋体" w:hAnsi="宋体" w:cs="Arial" w:eastAsiaTheme="minorEastAsia"/>
                <w:kern w:val="0"/>
                <w:sz w:val="24"/>
                <w:lang w:val="en-US" w:eastAsia="zh-CN"/>
              </w:rPr>
            </w:pPr>
            <w:r>
              <w:rPr>
                <w:rFonts w:hint="eastAsia" w:ascii="宋体" w:hAnsi="宋体" w:cs="Arial"/>
                <w:kern w:val="0"/>
                <w:sz w:val="24"/>
                <w:lang w:val="en-US" w:eastAsia="zh-CN"/>
              </w:rPr>
              <w:t>11</w:t>
            </w:r>
          </w:p>
        </w:tc>
        <w:tc>
          <w:tcPr>
            <w:tcW w:w="288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91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8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60"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2818" w:hRule="atLeast"/>
          <w:jc w:val="center"/>
        </w:trPr>
        <w:tc>
          <w:tcPr>
            <w:tcW w:w="9163"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atLeast"/>
              <w:rPr>
                <w:rFonts w:ascii="宋体" w:hAnsi="宋体"/>
              </w:rPr>
            </w:pPr>
          </w:p>
          <w:p>
            <w:pPr>
              <w:widowControl/>
              <w:spacing w:line="480" w:lineRule="atLeast"/>
              <w:rPr>
                <w:rFonts w:ascii="宋体" w:hAnsi="宋体"/>
              </w:rPr>
            </w:pPr>
          </w:p>
          <w:p>
            <w:pPr>
              <w:widowControl/>
              <w:spacing w:line="480" w:lineRule="atLeast"/>
              <w:rPr>
                <w:rFonts w:ascii="宋体" w:hAnsi="宋体"/>
              </w:rPr>
            </w:pPr>
            <w:r>
              <w:rPr>
                <w:rFonts w:hint="eastAsia" w:ascii="宋体" w:hAnsi="宋体"/>
                <w:sz w:val="24"/>
              </w:rPr>
              <w:t>监督(签名)：</w:t>
            </w:r>
          </w:p>
        </w:tc>
      </w:tr>
    </w:tbl>
    <w:p>
      <w:pPr>
        <w:spacing w:line="480" w:lineRule="atLeast"/>
        <w:rPr>
          <w:rFonts w:ascii="宋体" w:hAnsi="宋体"/>
          <w:sz w:val="24"/>
        </w:rPr>
        <w:sectPr>
          <w:headerReference r:id="rId3" w:type="default"/>
          <w:pgSz w:w="11906" w:h="16838"/>
          <w:pgMar w:top="1440" w:right="1440" w:bottom="1440" w:left="1440" w:header="720" w:footer="890" w:gutter="0"/>
          <w:cols w:space="720" w:num="1"/>
          <w:docGrid w:linePitch="312" w:charSpace="0"/>
        </w:sectPr>
      </w:pPr>
    </w:p>
    <w:p>
      <w:pPr>
        <w:spacing w:line="480" w:lineRule="atLeast"/>
        <w:jc w:val="left"/>
        <w:outlineLvl w:val="9"/>
        <w:rPr>
          <w:rFonts w:ascii="宋体" w:hAnsi="宋体" w:cs="宋体"/>
          <w:b/>
          <w:bCs/>
          <w:kern w:val="0"/>
          <w:sz w:val="24"/>
          <w:szCs w:val="24"/>
        </w:rPr>
      </w:pPr>
      <w:bookmarkStart w:id="230" w:name="_Toc17867"/>
      <w:bookmarkStart w:id="231" w:name="_Toc28986"/>
      <w:bookmarkStart w:id="232" w:name="_Toc11693"/>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bookmarkEnd w:id="230"/>
      <w:bookmarkEnd w:id="231"/>
      <w:bookmarkEnd w:id="232"/>
    </w:p>
    <w:p>
      <w:pPr>
        <w:snapToGrid w:val="0"/>
        <w:spacing w:line="480" w:lineRule="atLeast"/>
        <w:jc w:val="center"/>
        <w:rPr>
          <w:rFonts w:ascii="宋体" w:hAnsi="宋体" w:cs="宋体"/>
          <w:b/>
          <w:kern w:val="0"/>
          <w:sz w:val="32"/>
          <w:szCs w:val="28"/>
        </w:rPr>
      </w:pPr>
      <w:r>
        <w:rPr>
          <w:rFonts w:hint="eastAsia" w:ascii="宋体" w:hAnsi="宋体" w:cs="宋体"/>
          <w:b/>
          <w:kern w:val="0"/>
          <w:sz w:val="32"/>
          <w:szCs w:val="28"/>
        </w:rPr>
        <w:t>开标记录表</w:t>
      </w:r>
    </w:p>
    <w:p>
      <w:pPr>
        <w:spacing w:line="480" w:lineRule="atLeast"/>
        <w:rPr>
          <w:rFonts w:ascii="宋体" w:hAnsi="宋体" w:cs="宋体"/>
          <w:b/>
          <w:kern w:val="0"/>
          <w:sz w:val="24"/>
          <w:szCs w:val="28"/>
        </w:rPr>
      </w:pPr>
      <w:r>
        <w:rPr>
          <w:rFonts w:hint="eastAsia" w:ascii="宋体" w:hAnsi="宋体" w:cs="宋体"/>
          <w:b/>
          <w:kern w:val="0"/>
          <w:sz w:val="24"/>
          <w:szCs w:val="28"/>
        </w:rPr>
        <w:t>比选项目名称：</w:t>
      </w:r>
      <w:r>
        <w:rPr>
          <w:rFonts w:hint="eastAsia" w:asciiTheme="minorEastAsia" w:hAnsiTheme="minorEastAsia" w:cstheme="minorEastAsia"/>
          <w:sz w:val="22"/>
          <w:szCs w:val="22"/>
        </w:rPr>
        <w:t>深圳铁路投资建设集团有限公司住房公积金账户和</w:t>
      </w:r>
      <w:r>
        <w:rPr>
          <w:rFonts w:asciiTheme="minorEastAsia" w:hAnsiTheme="minorEastAsia" w:cstheme="minorEastAsia"/>
          <w:sz w:val="22"/>
          <w:szCs w:val="22"/>
        </w:rPr>
        <w:t>2020年政府专项债专户</w:t>
      </w:r>
      <w:r>
        <w:rPr>
          <w:rFonts w:hint="eastAsia" w:asciiTheme="minorEastAsia" w:hAnsiTheme="minorEastAsia" w:cstheme="minorEastAsia"/>
          <w:sz w:val="22"/>
          <w:szCs w:val="22"/>
        </w:rPr>
        <w:t>合作银行比选项目</w:t>
      </w:r>
    </w:p>
    <w:p>
      <w:pPr>
        <w:spacing w:line="480" w:lineRule="atLeast"/>
        <w:rPr>
          <w:rFonts w:ascii="宋体" w:hAnsi="宋体" w:cs="宋体"/>
          <w:b/>
          <w:kern w:val="0"/>
          <w:sz w:val="24"/>
          <w:szCs w:val="28"/>
        </w:rPr>
      </w:pPr>
    </w:p>
    <w:tbl>
      <w:tblPr>
        <w:tblStyle w:val="10"/>
        <w:tblW w:w="1523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38"/>
        <w:gridCol w:w="4103"/>
        <w:gridCol w:w="4125"/>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 w:type="dxa"/>
            <w:vAlign w:val="center"/>
          </w:tcPr>
          <w:p>
            <w:pPr>
              <w:widowControl/>
              <w:spacing w:line="480" w:lineRule="atLeast"/>
              <w:jc w:val="center"/>
              <w:rPr>
                <w:rFonts w:ascii="宋体" w:hAnsi="宋体" w:cs="宋体"/>
                <w:kern w:val="0"/>
                <w:szCs w:val="24"/>
              </w:rPr>
            </w:pPr>
            <w:r>
              <w:rPr>
                <w:rFonts w:hint="eastAsia" w:ascii="宋体" w:hAnsi="宋体" w:cs="宋体"/>
                <w:b/>
                <w:kern w:val="0"/>
                <w:sz w:val="24"/>
                <w:szCs w:val="24"/>
              </w:rPr>
              <w:t>序号</w:t>
            </w:r>
          </w:p>
        </w:tc>
        <w:tc>
          <w:tcPr>
            <w:tcW w:w="2438" w:type="dxa"/>
            <w:vAlign w:val="center"/>
          </w:tcPr>
          <w:p>
            <w:pPr>
              <w:widowControl/>
              <w:spacing w:line="480" w:lineRule="atLeast"/>
              <w:jc w:val="center"/>
              <w:rPr>
                <w:rFonts w:ascii="宋体" w:hAnsi="宋体" w:cs="宋体"/>
                <w:kern w:val="0"/>
                <w:szCs w:val="24"/>
              </w:rPr>
            </w:pPr>
            <w:r>
              <w:rPr>
                <w:rFonts w:hint="eastAsia" w:ascii="宋体" w:hAnsi="宋体" w:cs="宋体"/>
                <w:b/>
                <w:kern w:val="0"/>
                <w:sz w:val="24"/>
                <w:szCs w:val="24"/>
                <w:lang w:val="en-US" w:eastAsia="zh-CN"/>
              </w:rPr>
              <w:t>参选银行</w:t>
            </w:r>
          </w:p>
        </w:tc>
        <w:tc>
          <w:tcPr>
            <w:tcW w:w="4103" w:type="dxa"/>
            <w:vAlign w:val="center"/>
          </w:tcPr>
          <w:p>
            <w:pPr>
              <w:widowControl/>
              <w:spacing w:line="480" w:lineRule="atLeast"/>
              <w:jc w:val="center"/>
              <w:rPr>
                <w:rFonts w:ascii="宋体" w:hAnsi="宋体" w:cs="宋体"/>
                <w:b/>
                <w:bCs/>
                <w:kern w:val="0"/>
                <w:szCs w:val="24"/>
              </w:rPr>
            </w:pPr>
            <w:r>
              <w:rPr>
                <w:rFonts w:hint="eastAsia" w:ascii="宋体" w:hAnsi="宋体"/>
                <w:sz w:val="24"/>
                <w:szCs w:val="24"/>
              </w:rPr>
              <w:t>参选文件在截止时间前送达指定地点</w:t>
            </w:r>
          </w:p>
        </w:tc>
        <w:tc>
          <w:tcPr>
            <w:tcW w:w="4125" w:type="dxa"/>
            <w:vAlign w:val="center"/>
          </w:tcPr>
          <w:p>
            <w:pPr>
              <w:widowControl/>
              <w:spacing w:line="480" w:lineRule="atLeast"/>
              <w:jc w:val="center"/>
              <w:rPr>
                <w:rFonts w:ascii="宋体" w:hAnsi="宋体" w:cs="宋体"/>
                <w:b/>
                <w:kern w:val="0"/>
                <w:szCs w:val="24"/>
              </w:rPr>
            </w:pPr>
            <w:r>
              <w:rPr>
                <w:rFonts w:hint="eastAsia" w:ascii="宋体" w:hAnsi="宋体"/>
                <w:bCs/>
                <w:sz w:val="24"/>
                <w:szCs w:val="24"/>
              </w:rPr>
              <w:t>参选文件按规定密封</w:t>
            </w:r>
          </w:p>
        </w:tc>
        <w:tc>
          <w:tcPr>
            <w:tcW w:w="3720" w:type="dxa"/>
            <w:vAlign w:val="center"/>
          </w:tcPr>
          <w:p>
            <w:pPr>
              <w:widowControl/>
              <w:spacing w:line="480" w:lineRule="atLeast"/>
              <w:jc w:val="center"/>
              <w:rPr>
                <w:rFonts w:ascii="宋体" w:hAnsi="宋体" w:cs="宋体"/>
                <w:b/>
                <w:kern w:val="0"/>
                <w:szCs w:val="24"/>
              </w:rPr>
            </w:pPr>
            <w:r>
              <w:rPr>
                <w:rFonts w:hint="eastAsia" w:ascii="宋体" w:hAnsi="宋体" w:cs="宋体"/>
                <w:kern w:val="0"/>
                <w:sz w:val="24"/>
                <w:szCs w:val="24"/>
              </w:rPr>
              <w:t>参选人签名确认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1</w:t>
            </w:r>
          </w:p>
        </w:tc>
        <w:tc>
          <w:tcPr>
            <w:tcW w:w="2438" w:type="dxa"/>
            <w:vAlign w:val="center"/>
          </w:tcPr>
          <w:p>
            <w:pPr>
              <w:widowControl/>
              <w:spacing w:line="480" w:lineRule="atLeast"/>
              <w:jc w:val="center"/>
              <w:rPr>
                <w:rFonts w:ascii="宋体" w:hAnsi="宋体" w:cs="宋体"/>
                <w:kern w:val="0"/>
                <w:szCs w:val="24"/>
              </w:rPr>
            </w:pPr>
          </w:p>
        </w:tc>
        <w:tc>
          <w:tcPr>
            <w:tcW w:w="4103" w:type="dxa"/>
            <w:vAlign w:val="center"/>
          </w:tcPr>
          <w:p>
            <w:pPr>
              <w:widowControl/>
              <w:spacing w:line="480" w:lineRule="atLeast"/>
              <w:jc w:val="center"/>
              <w:rPr>
                <w:rFonts w:ascii="宋体" w:hAnsi="宋体"/>
                <w:szCs w:val="24"/>
              </w:rPr>
            </w:pPr>
          </w:p>
        </w:tc>
        <w:tc>
          <w:tcPr>
            <w:tcW w:w="4125" w:type="dxa"/>
          </w:tcPr>
          <w:p>
            <w:pPr>
              <w:widowControl/>
              <w:spacing w:line="480" w:lineRule="atLeast"/>
              <w:jc w:val="center"/>
              <w:rPr>
                <w:rFonts w:ascii="宋体" w:hAnsi="宋体"/>
                <w:szCs w:val="24"/>
              </w:rPr>
            </w:pPr>
          </w:p>
        </w:tc>
        <w:tc>
          <w:tcPr>
            <w:tcW w:w="3720" w:type="dxa"/>
          </w:tcPr>
          <w:p>
            <w:pPr>
              <w:widowControl/>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2</w:t>
            </w:r>
          </w:p>
        </w:tc>
        <w:tc>
          <w:tcPr>
            <w:tcW w:w="2438" w:type="dxa"/>
            <w:vAlign w:val="center"/>
          </w:tcPr>
          <w:p>
            <w:pPr>
              <w:widowControl/>
              <w:spacing w:line="480" w:lineRule="atLeast"/>
              <w:jc w:val="center"/>
              <w:rPr>
                <w:rFonts w:ascii="宋体" w:hAnsi="宋体"/>
                <w:bCs/>
                <w:szCs w:val="24"/>
              </w:rPr>
            </w:pPr>
          </w:p>
        </w:tc>
        <w:tc>
          <w:tcPr>
            <w:tcW w:w="4103" w:type="dxa"/>
            <w:vAlign w:val="center"/>
          </w:tcPr>
          <w:p>
            <w:pPr>
              <w:widowControl/>
              <w:spacing w:line="480" w:lineRule="atLeast"/>
              <w:jc w:val="center"/>
              <w:rPr>
                <w:rFonts w:ascii="宋体" w:hAnsi="宋体" w:cs="宋体"/>
                <w:b/>
                <w:kern w:val="0"/>
                <w:szCs w:val="24"/>
              </w:rPr>
            </w:pPr>
          </w:p>
        </w:tc>
        <w:tc>
          <w:tcPr>
            <w:tcW w:w="4125" w:type="dxa"/>
          </w:tcPr>
          <w:p>
            <w:pPr>
              <w:widowControl/>
              <w:spacing w:line="480" w:lineRule="atLeast"/>
              <w:jc w:val="center"/>
              <w:rPr>
                <w:rFonts w:ascii="宋体" w:hAnsi="宋体" w:cs="宋体"/>
                <w:b/>
                <w:kern w:val="0"/>
                <w:szCs w:val="24"/>
              </w:rPr>
            </w:pPr>
          </w:p>
        </w:tc>
        <w:tc>
          <w:tcPr>
            <w:tcW w:w="3720" w:type="dxa"/>
          </w:tcPr>
          <w:p>
            <w:pPr>
              <w:widowControl/>
              <w:spacing w:line="480" w:lineRule="atLeast"/>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3</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4</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5</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6</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7</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8</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9</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10</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51" w:type="dxa"/>
            <w:vAlign w:val="center"/>
          </w:tcPr>
          <w:p>
            <w:pPr>
              <w:widowControl/>
              <w:spacing w:line="480" w:lineRule="atLeast"/>
              <w:jc w:val="center"/>
              <w:rPr>
                <w:rFonts w:hint="default" w:ascii="宋体" w:hAnsi="宋体" w:cs="宋体"/>
                <w:b/>
                <w:kern w:val="0"/>
                <w:sz w:val="24"/>
                <w:szCs w:val="24"/>
                <w:lang w:val="en-US" w:eastAsia="zh-CN"/>
              </w:rPr>
            </w:pPr>
            <w:r>
              <w:rPr>
                <w:rFonts w:hint="eastAsia" w:ascii="宋体" w:hAnsi="宋体" w:cs="宋体"/>
                <w:b/>
                <w:kern w:val="0"/>
                <w:sz w:val="24"/>
                <w:szCs w:val="24"/>
                <w:lang w:val="en-US" w:eastAsia="zh-CN"/>
              </w:rPr>
              <w:t>11</w:t>
            </w:r>
          </w:p>
        </w:tc>
        <w:tc>
          <w:tcPr>
            <w:tcW w:w="2438" w:type="dxa"/>
            <w:vAlign w:val="center"/>
          </w:tcPr>
          <w:p>
            <w:pPr>
              <w:widowControl/>
              <w:spacing w:line="480" w:lineRule="atLeast"/>
              <w:jc w:val="center"/>
              <w:rPr>
                <w:rFonts w:hint="eastAsia" w:ascii="宋体" w:hAnsi="宋体" w:cs="宋体"/>
                <w:kern w:val="0"/>
                <w:sz w:val="24"/>
                <w:szCs w:val="24"/>
              </w:rPr>
            </w:pPr>
          </w:p>
        </w:tc>
        <w:tc>
          <w:tcPr>
            <w:tcW w:w="4103" w:type="dxa"/>
            <w:vAlign w:val="center"/>
          </w:tcPr>
          <w:p>
            <w:pPr>
              <w:widowControl/>
              <w:spacing w:line="480" w:lineRule="atLeast"/>
              <w:jc w:val="center"/>
              <w:rPr>
                <w:rFonts w:ascii="宋体" w:hAnsi="宋体" w:cs="宋体"/>
                <w:kern w:val="0"/>
                <w:szCs w:val="24"/>
              </w:rPr>
            </w:pPr>
          </w:p>
        </w:tc>
        <w:tc>
          <w:tcPr>
            <w:tcW w:w="4125" w:type="dxa"/>
          </w:tcPr>
          <w:p>
            <w:pPr>
              <w:widowControl/>
              <w:spacing w:line="480" w:lineRule="atLeast"/>
              <w:jc w:val="center"/>
              <w:rPr>
                <w:rFonts w:ascii="宋体" w:hAnsi="宋体" w:cs="宋体"/>
                <w:kern w:val="0"/>
                <w:szCs w:val="24"/>
              </w:rPr>
            </w:pPr>
          </w:p>
        </w:tc>
        <w:tc>
          <w:tcPr>
            <w:tcW w:w="3720" w:type="dxa"/>
          </w:tcPr>
          <w:p>
            <w:pPr>
              <w:widowControl/>
              <w:spacing w:line="480" w:lineRule="atLeast"/>
              <w:jc w:val="center"/>
              <w:rPr>
                <w:rFonts w:ascii="宋体" w:hAnsi="宋体" w:cs="宋体"/>
                <w:kern w:val="0"/>
                <w:szCs w:val="24"/>
              </w:rPr>
            </w:pPr>
          </w:p>
        </w:tc>
      </w:tr>
    </w:tbl>
    <w:p>
      <w:pPr>
        <w:pStyle w:val="6"/>
        <w:spacing w:line="480" w:lineRule="atLeast"/>
        <w:ind w:left="0" w:leftChars="0" w:firstLine="98" w:firstLineChars="49"/>
        <w:rPr>
          <w:rFonts w:ascii="宋体" w:hAnsi="宋体"/>
          <w:b/>
        </w:rPr>
      </w:pPr>
      <w:r>
        <w:rPr>
          <w:rFonts w:hint="eastAsia" w:ascii="宋体" w:hAnsi="宋体"/>
          <w:b/>
        </w:rPr>
        <w:t xml:space="preserve">记录人签名： </w:t>
      </w:r>
    </w:p>
    <w:p>
      <w:pPr>
        <w:pStyle w:val="6"/>
        <w:spacing w:line="480" w:lineRule="atLeast"/>
        <w:ind w:left="0" w:leftChars="0" w:firstLine="98" w:firstLineChars="49"/>
        <w:rPr>
          <w:rFonts w:ascii="宋体" w:hAnsi="宋体"/>
          <w:b/>
        </w:rPr>
      </w:pPr>
      <w:r>
        <w:rPr>
          <w:rFonts w:hint="eastAsia" w:ascii="宋体" w:hAnsi="宋体"/>
          <w:b/>
        </w:rPr>
        <w:t>复核人签名：</w:t>
      </w:r>
    </w:p>
    <w:p>
      <w:pPr>
        <w:pStyle w:val="6"/>
        <w:spacing w:line="480" w:lineRule="atLeast"/>
        <w:ind w:left="0" w:leftChars="0" w:firstLine="98" w:firstLineChars="49"/>
        <w:rPr>
          <w:rFonts w:ascii="宋体" w:hAnsi="宋体"/>
          <w:sz w:val="28"/>
          <w:szCs w:val="28"/>
        </w:rPr>
      </w:pPr>
      <w:r>
        <w:rPr>
          <w:rFonts w:hint="eastAsia" w:ascii="宋体" w:hAnsi="宋体"/>
          <w:b/>
        </w:rPr>
        <w:t>监督人签名：</w:t>
      </w:r>
      <w:r>
        <w:rPr>
          <w:rFonts w:hint="eastAsia" w:ascii="宋体" w:hAnsi="宋体"/>
          <w:b/>
          <w:lang w:val="en-US" w:eastAsia="zh-CN"/>
        </w:rPr>
        <w:t xml:space="preserve">                                                                                                                </w:t>
      </w:r>
      <w:r>
        <w:rPr>
          <w:rFonts w:hint="eastAsia" w:ascii="宋体" w:hAnsi="宋体"/>
          <w:b/>
          <w:szCs w:val="21"/>
        </w:rPr>
        <w:t>日期：</w:t>
      </w:r>
      <w:r>
        <w:rPr>
          <w:rFonts w:hint="eastAsia" w:ascii="宋体" w:hAnsi="宋体"/>
          <w:szCs w:val="21"/>
        </w:rPr>
        <w:t xml:space="preserve">     年    月    日</w:t>
      </w:r>
    </w:p>
    <w:p>
      <w:pPr>
        <w:spacing w:line="360" w:lineRule="auto"/>
        <w:jc w:val="left"/>
        <w:rPr>
          <w:rFonts w:hint="eastAsia" w:ascii="宋体" w:hAnsi="宋体"/>
          <w:b/>
          <w:bCs/>
          <w:snapToGrid w:val="0"/>
          <w:sz w:val="32"/>
          <w:szCs w:val="32"/>
          <w:lang w:val="en-US" w:eastAsia="zh-CN"/>
        </w:rPr>
        <w:sectPr>
          <w:pgSz w:w="16838" w:h="11906" w:orient="landscape"/>
          <w:pgMar w:top="720" w:right="720" w:bottom="720" w:left="720" w:header="851" w:footer="992" w:gutter="0"/>
          <w:cols w:space="425" w:num="1"/>
          <w:docGrid w:type="lines" w:linePitch="312" w:charSpace="0"/>
        </w:sectPr>
      </w:pPr>
    </w:p>
    <w:p>
      <w:pPr>
        <w:spacing w:line="360" w:lineRule="auto"/>
        <w:jc w:val="left"/>
        <w:outlineLvl w:val="9"/>
        <w:rPr>
          <w:rFonts w:hint="default" w:ascii="宋体" w:hAnsi="宋体"/>
          <w:b/>
          <w:bCs/>
          <w:snapToGrid w:val="0"/>
          <w:sz w:val="32"/>
          <w:szCs w:val="32"/>
          <w:lang w:val="en-US" w:eastAsia="zh-CN"/>
        </w:rPr>
      </w:pPr>
      <w:bookmarkStart w:id="233" w:name="_Toc4156"/>
      <w:bookmarkStart w:id="234" w:name="_Toc21187"/>
      <w:bookmarkStart w:id="235" w:name="_Toc32451"/>
      <w:r>
        <w:rPr>
          <w:rFonts w:hint="eastAsia" w:ascii="宋体" w:hAnsi="宋体"/>
          <w:b/>
          <w:bCs/>
          <w:snapToGrid w:val="0"/>
          <w:sz w:val="32"/>
          <w:szCs w:val="32"/>
          <w:lang w:val="en-US" w:eastAsia="zh-CN"/>
        </w:rPr>
        <w:t>附表3：</w:t>
      </w:r>
      <w:bookmarkEnd w:id="233"/>
      <w:bookmarkEnd w:id="234"/>
      <w:bookmarkEnd w:id="235"/>
    </w:p>
    <w:p>
      <w:pPr>
        <w:spacing w:line="360" w:lineRule="auto"/>
        <w:jc w:val="center"/>
        <w:rPr>
          <w:rFonts w:ascii="宋体" w:hAnsi="宋体"/>
          <w:b/>
          <w:bCs/>
          <w:snapToGrid w:val="0"/>
          <w:sz w:val="32"/>
          <w:szCs w:val="32"/>
        </w:rPr>
      </w:pPr>
      <w:r>
        <w:rPr>
          <w:rFonts w:hint="eastAsia" w:ascii="宋体" w:hAnsi="宋体"/>
          <w:b/>
          <w:bCs/>
          <w:snapToGrid w:val="0"/>
          <w:sz w:val="32"/>
          <w:szCs w:val="32"/>
        </w:rPr>
        <w:t>符合性审查表</w:t>
      </w:r>
    </w:p>
    <w:p>
      <w:pPr>
        <w:spacing w:line="360" w:lineRule="auto"/>
        <w:jc w:val="left"/>
        <w:rPr>
          <w:rFonts w:ascii="宋体" w:hAnsi="宋体" w:eastAsia="宋体"/>
          <w:bCs/>
          <w:snapToGrid w:val="0"/>
          <w:sz w:val="22"/>
          <w:szCs w:val="22"/>
        </w:rPr>
      </w:pPr>
      <w:r>
        <w:rPr>
          <w:rFonts w:hint="eastAsia" w:ascii="宋体" w:hAnsi="宋体" w:eastAsia="宋体"/>
          <w:bCs/>
          <w:snapToGrid w:val="0"/>
          <w:sz w:val="22"/>
          <w:szCs w:val="22"/>
          <w:lang w:val="en-US" w:eastAsia="zh-CN"/>
        </w:rPr>
        <w:t>比选</w:t>
      </w:r>
      <w:r>
        <w:rPr>
          <w:rFonts w:hint="eastAsia" w:ascii="宋体" w:hAnsi="宋体" w:eastAsia="宋体"/>
          <w:bCs/>
          <w:snapToGrid w:val="0"/>
          <w:sz w:val="22"/>
          <w:szCs w:val="22"/>
        </w:rPr>
        <w:t>项目名称：深圳铁路投资建设集团有限公司住房公积金账户和2020年政府专项债专户合作银行比选项目</w:t>
      </w:r>
    </w:p>
    <w:tbl>
      <w:tblPr>
        <w:tblStyle w:val="10"/>
        <w:tblW w:w="15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1452"/>
        <w:gridCol w:w="1440"/>
        <w:gridCol w:w="3587"/>
        <w:gridCol w:w="1815"/>
        <w:gridCol w:w="2835"/>
        <w:gridCol w:w="1401"/>
        <w:gridCol w:w="1096"/>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92" w:type="dxa"/>
            <w:vMerge w:val="restart"/>
            <w:shd w:val="clear" w:color="auto" w:fill="FFFFFF" w:themeFill="background1"/>
            <w:vAlign w:val="center"/>
          </w:tcPr>
          <w:p>
            <w:pPr>
              <w:widowControl/>
              <w:textAlignment w:val="center"/>
              <w:rPr>
                <w:rFonts w:ascii="宋体" w:hAnsi="宋体" w:eastAsia="宋体"/>
                <w:b/>
                <w:bCs/>
                <w:snapToGrid w:val="0"/>
                <w:sz w:val="22"/>
                <w:szCs w:val="22"/>
              </w:rPr>
            </w:pPr>
            <w:r>
              <w:rPr>
                <w:rFonts w:hint="eastAsia" w:ascii="宋体" w:hAnsi="宋体" w:eastAsia="宋体" w:cs="宋体"/>
                <w:b/>
                <w:color w:val="000000"/>
                <w:spacing w:val="-5"/>
                <w:kern w:val="0"/>
                <w:sz w:val="22"/>
                <w:szCs w:val="22"/>
                <w:lang w:bidi="ar"/>
              </w:rPr>
              <w:t>序号</w:t>
            </w:r>
          </w:p>
        </w:tc>
        <w:tc>
          <w:tcPr>
            <w:tcW w:w="1452" w:type="dxa"/>
            <w:vMerge w:val="restart"/>
            <w:shd w:val="clear" w:color="auto" w:fill="FFFFFF" w:themeFill="background1"/>
            <w:vAlign w:val="center"/>
          </w:tcPr>
          <w:p>
            <w:pPr>
              <w:widowControl/>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参选银行名称</w:t>
            </w:r>
          </w:p>
        </w:tc>
        <w:tc>
          <w:tcPr>
            <w:tcW w:w="12174" w:type="dxa"/>
            <w:gridSpan w:val="6"/>
            <w:shd w:val="clear" w:color="auto" w:fill="FFFFFF" w:themeFill="background1"/>
            <w:vAlign w:val="center"/>
          </w:tcPr>
          <w:p>
            <w:pPr>
              <w:widowControl/>
              <w:ind w:firstLine="454"/>
              <w:jc w:val="center"/>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符合性审查内容</w:t>
            </w:r>
          </w:p>
        </w:tc>
        <w:tc>
          <w:tcPr>
            <w:tcW w:w="1073" w:type="dxa"/>
            <w:vMerge w:val="restart"/>
            <w:shd w:val="clear" w:color="auto" w:fill="FFFFFF" w:themeFill="background1"/>
            <w:vAlign w:val="center"/>
          </w:tcPr>
          <w:p>
            <w:pPr>
              <w:widowControl/>
              <w:ind w:firstLine="211" w:firstLineChars="100"/>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492" w:type="dxa"/>
            <w:vMerge w:val="continue"/>
            <w:shd w:val="clear" w:color="auto" w:fill="FFFFFF" w:themeFill="background1"/>
            <w:vAlign w:val="center"/>
          </w:tcPr>
          <w:p>
            <w:pPr>
              <w:widowControl/>
              <w:jc w:val="left"/>
              <w:rPr>
                <w:rFonts w:ascii="宋体" w:hAnsi="宋体" w:eastAsia="宋体"/>
                <w:b/>
                <w:bCs/>
                <w:snapToGrid w:val="0"/>
                <w:sz w:val="22"/>
                <w:szCs w:val="22"/>
              </w:rPr>
            </w:pPr>
          </w:p>
        </w:tc>
        <w:tc>
          <w:tcPr>
            <w:tcW w:w="1452" w:type="dxa"/>
            <w:vMerge w:val="continue"/>
            <w:shd w:val="clear" w:color="auto" w:fill="FFFFFF" w:themeFill="background1"/>
            <w:vAlign w:val="center"/>
          </w:tcPr>
          <w:p>
            <w:pPr>
              <w:widowControl/>
              <w:jc w:val="left"/>
              <w:rPr>
                <w:rFonts w:ascii="宋体" w:hAnsi="宋体" w:eastAsia="宋体"/>
                <w:b/>
                <w:bCs/>
                <w:snapToGrid w:val="0"/>
                <w:sz w:val="22"/>
                <w:szCs w:val="22"/>
              </w:rPr>
            </w:pPr>
          </w:p>
        </w:tc>
        <w:tc>
          <w:tcPr>
            <w:tcW w:w="1440" w:type="dxa"/>
            <w:shd w:val="clear" w:color="auto" w:fill="FFFFFF" w:themeFill="background1"/>
            <w:vAlign w:val="center"/>
          </w:tcPr>
          <w:p>
            <w:pPr>
              <w:widowControl/>
              <w:ind w:right="-76" w:rightChars="-36"/>
              <w:jc w:val="left"/>
              <w:textAlignment w:val="center"/>
              <w:rPr>
                <w:rFonts w:ascii="宋体" w:hAnsi="宋体" w:eastAsia="宋体"/>
                <w:b/>
                <w:bCs/>
                <w:snapToGrid w:val="0"/>
                <w:sz w:val="22"/>
                <w:szCs w:val="22"/>
              </w:rPr>
            </w:pPr>
            <w:r>
              <w:rPr>
                <w:rFonts w:hint="eastAsia" w:ascii="宋体" w:hAnsi="宋体" w:eastAsia="宋体"/>
                <w:b/>
                <w:bCs/>
                <w:color w:val="000000"/>
                <w:spacing w:val="-5"/>
                <w:kern w:val="0"/>
                <w:sz w:val="22"/>
                <w:szCs w:val="22"/>
              </w:rPr>
              <w:t>资格条件是否满足比选文件要求或提供资料有无缺漏</w:t>
            </w:r>
          </w:p>
        </w:tc>
        <w:tc>
          <w:tcPr>
            <w:tcW w:w="3587" w:type="dxa"/>
            <w:shd w:val="clear" w:color="auto" w:fill="FFFFFF" w:themeFill="background1"/>
            <w:vAlign w:val="center"/>
          </w:tcPr>
          <w:p>
            <w:pPr>
              <w:widowControl/>
              <w:jc w:val="left"/>
              <w:textAlignment w:val="center"/>
              <w:rPr>
                <w:rFonts w:ascii="宋体" w:hAnsi="宋体" w:eastAsia="宋体"/>
                <w:b/>
                <w:bCs/>
                <w:snapToGrid w:val="0"/>
                <w:sz w:val="22"/>
                <w:szCs w:val="22"/>
              </w:rPr>
            </w:pPr>
            <w:r>
              <w:rPr>
                <w:rFonts w:hint="eastAsia" w:ascii="宋体" w:hAnsi="宋体" w:eastAsia="宋体"/>
                <w:b/>
                <w:bCs/>
                <w:color w:val="000000"/>
                <w:spacing w:val="-5"/>
                <w:kern w:val="0"/>
                <w:sz w:val="22"/>
                <w:szCs w:val="22"/>
              </w:rPr>
              <w:t>参选文件的有关内容是否按比选文件规定加盖参选银行公章；是否经法定代表人签章或委托代理人签章并提供法人授权委托证明书原件</w:t>
            </w:r>
          </w:p>
        </w:tc>
        <w:tc>
          <w:tcPr>
            <w:tcW w:w="1815" w:type="dxa"/>
            <w:shd w:val="clear" w:color="auto" w:fill="FFFFFF" w:themeFill="background1"/>
            <w:vAlign w:val="center"/>
          </w:tcPr>
          <w:p>
            <w:pPr>
              <w:widowControl/>
              <w:jc w:val="left"/>
              <w:textAlignment w:val="center"/>
              <w:rPr>
                <w:rFonts w:ascii="宋体" w:hAnsi="宋体" w:eastAsia="宋体"/>
                <w:b/>
                <w:bCs/>
                <w:snapToGrid w:val="0"/>
                <w:sz w:val="22"/>
                <w:szCs w:val="22"/>
              </w:rPr>
            </w:pPr>
            <w:r>
              <w:rPr>
                <w:rFonts w:hint="eastAsia" w:ascii="宋体" w:hAnsi="宋体" w:eastAsia="宋体"/>
                <w:b/>
                <w:bCs/>
                <w:color w:val="000000"/>
                <w:spacing w:val="-5"/>
                <w:kern w:val="0"/>
                <w:sz w:val="22"/>
                <w:szCs w:val="22"/>
              </w:rPr>
              <w:t>《参选文件》是否按规定格式和内容填写</w:t>
            </w:r>
          </w:p>
        </w:tc>
        <w:tc>
          <w:tcPr>
            <w:tcW w:w="2835" w:type="dxa"/>
            <w:shd w:val="clear" w:color="auto" w:fill="FFFFFF" w:themeFill="background1"/>
            <w:vAlign w:val="center"/>
          </w:tcPr>
          <w:p>
            <w:pPr>
              <w:widowControl/>
              <w:jc w:val="left"/>
              <w:textAlignment w:val="center"/>
              <w:rPr>
                <w:rFonts w:ascii="宋体" w:hAnsi="宋体" w:eastAsia="宋体"/>
                <w:b/>
                <w:bCs/>
                <w:snapToGrid w:val="0"/>
                <w:sz w:val="22"/>
                <w:szCs w:val="22"/>
              </w:rPr>
            </w:pPr>
            <w:r>
              <w:rPr>
                <w:rFonts w:hint="eastAsia" w:ascii="宋体" w:hAnsi="宋体" w:eastAsia="宋体"/>
                <w:b/>
                <w:bCs/>
                <w:snapToGrid w:val="0"/>
                <w:sz w:val="22"/>
                <w:szCs w:val="22"/>
              </w:rPr>
              <w:t>参选银行是否存在递交两份或多份内容不同的参选文件，或在一份参选文件中对同一项目报有两个或多个报价，且未声明哪一个有效的的情况</w:t>
            </w:r>
          </w:p>
        </w:tc>
        <w:tc>
          <w:tcPr>
            <w:tcW w:w="1401" w:type="dxa"/>
            <w:shd w:val="clear" w:color="auto" w:fill="FFFFFF" w:themeFill="background1"/>
            <w:vAlign w:val="center"/>
          </w:tcPr>
          <w:p>
            <w:pPr>
              <w:widowControl/>
              <w:jc w:val="left"/>
              <w:textAlignment w:val="center"/>
              <w:rPr>
                <w:rFonts w:ascii="宋体" w:hAnsi="宋体" w:eastAsia="宋体" w:cs="宋体"/>
                <w:b/>
                <w:color w:val="000000"/>
                <w:spacing w:val="-5"/>
                <w:kern w:val="0"/>
                <w:sz w:val="22"/>
                <w:szCs w:val="22"/>
                <w:lang w:bidi="ar"/>
              </w:rPr>
            </w:pPr>
            <w:r>
              <w:rPr>
                <w:rFonts w:hint="eastAsia" w:ascii="宋体" w:hAnsi="宋体" w:eastAsia="宋体" w:cs="宋体"/>
                <w:b/>
                <w:color w:val="000000"/>
                <w:spacing w:val="-5"/>
                <w:kern w:val="0"/>
                <w:sz w:val="22"/>
                <w:szCs w:val="22"/>
                <w:lang w:bidi="ar"/>
              </w:rPr>
              <w:t>是否存在法律法规或比选文件规定的其他参选无效及废标的情形</w:t>
            </w:r>
          </w:p>
        </w:tc>
        <w:tc>
          <w:tcPr>
            <w:tcW w:w="1096" w:type="dxa"/>
            <w:shd w:val="clear" w:color="auto" w:fill="FFFFFF" w:themeFill="background1"/>
            <w:vAlign w:val="center"/>
          </w:tcPr>
          <w:p>
            <w:pPr>
              <w:widowControl/>
              <w:jc w:val="left"/>
              <w:textAlignment w:val="center"/>
              <w:rPr>
                <w:rFonts w:ascii="宋体" w:hAnsi="宋体" w:eastAsia="宋体"/>
                <w:sz w:val="22"/>
                <w:szCs w:val="22"/>
              </w:rPr>
            </w:pPr>
            <w:r>
              <w:rPr>
                <w:rFonts w:hint="eastAsia" w:ascii="宋体" w:hAnsi="宋体" w:eastAsia="宋体" w:cs="宋体"/>
                <w:b/>
                <w:color w:val="000000"/>
                <w:spacing w:val="-5"/>
                <w:kern w:val="0"/>
                <w:sz w:val="22"/>
                <w:szCs w:val="22"/>
                <w:lang w:bidi="ar"/>
              </w:rPr>
              <w:t>是否签署《承诺函》、《廉洁投标承诺书》</w:t>
            </w:r>
          </w:p>
        </w:tc>
        <w:tc>
          <w:tcPr>
            <w:tcW w:w="1073" w:type="dxa"/>
            <w:vMerge w:val="continue"/>
            <w:shd w:val="clear" w:color="auto" w:fill="FFFFFF" w:themeFill="background1"/>
            <w:vAlign w:val="center"/>
          </w:tcPr>
          <w:p>
            <w:pPr>
              <w:widowControl/>
              <w:jc w:val="left"/>
              <w:rPr>
                <w:rFonts w:ascii="宋体" w:hAnsi="宋体" w:eastAsia="宋体" w:cs="宋体"/>
                <w:b/>
                <w:color w:val="000000"/>
                <w:spacing w:val="-5"/>
                <w:kern w:val="0"/>
                <w:sz w:val="22"/>
                <w:szCs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Cs/>
                <w:snapToGrid w:val="0"/>
                <w:sz w:val="22"/>
                <w:szCs w:val="22"/>
              </w:rPr>
            </w:pPr>
            <w:r>
              <w:rPr>
                <w:rFonts w:hint="eastAsia" w:ascii="宋体" w:hAnsi="宋体" w:eastAsia="宋体" w:cs="宋体"/>
                <w:color w:val="000000"/>
                <w:spacing w:val="-5"/>
                <w:kern w:val="0"/>
                <w:sz w:val="22"/>
                <w:szCs w:val="22"/>
                <w:lang w:bidi="ar"/>
              </w:rPr>
              <w:t>1</w:t>
            </w:r>
          </w:p>
        </w:tc>
        <w:tc>
          <w:tcPr>
            <w:tcW w:w="1452" w:type="dxa"/>
            <w:vAlign w:val="center"/>
          </w:tcPr>
          <w:p>
            <w:pPr>
              <w:jc w:val="center"/>
              <w:rPr>
                <w:rFonts w:ascii="宋体" w:hAnsi="宋体" w:eastAsia="宋体"/>
                <w:bCs/>
                <w:snapToGrid w:val="0"/>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Cs/>
                <w:snapToGrid w:val="0"/>
                <w:sz w:val="22"/>
                <w:szCs w:val="22"/>
              </w:rPr>
            </w:pPr>
            <w:r>
              <w:rPr>
                <w:rFonts w:hint="eastAsia" w:ascii="宋体" w:hAnsi="宋体" w:eastAsia="宋体" w:cs="宋体"/>
                <w:color w:val="000000"/>
                <w:spacing w:val="-5"/>
                <w:kern w:val="0"/>
                <w:sz w:val="22"/>
                <w:szCs w:val="22"/>
                <w:lang w:bidi="ar"/>
              </w:rPr>
              <w:t>2</w:t>
            </w:r>
          </w:p>
        </w:tc>
        <w:tc>
          <w:tcPr>
            <w:tcW w:w="1452" w:type="dxa"/>
            <w:vAlign w:val="center"/>
          </w:tcPr>
          <w:p>
            <w:pPr>
              <w:jc w:val="center"/>
              <w:rPr>
                <w:rFonts w:ascii="宋体" w:hAnsi="宋体" w:eastAsia="宋体"/>
                <w:snapToGrid w:val="0"/>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Cs/>
                <w:snapToGrid w:val="0"/>
                <w:sz w:val="22"/>
                <w:szCs w:val="22"/>
              </w:rPr>
            </w:pPr>
            <w:r>
              <w:rPr>
                <w:rFonts w:hint="eastAsia" w:ascii="宋体" w:hAnsi="宋体" w:eastAsia="宋体" w:cs="宋体"/>
                <w:color w:val="000000"/>
                <w:spacing w:val="-5"/>
                <w:kern w:val="0"/>
                <w:sz w:val="22"/>
                <w:szCs w:val="22"/>
                <w:lang w:bidi="ar"/>
              </w:rPr>
              <w:t>3</w:t>
            </w:r>
          </w:p>
        </w:tc>
        <w:tc>
          <w:tcPr>
            <w:tcW w:w="1452" w:type="dxa"/>
            <w:vAlign w:val="center"/>
          </w:tcPr>
          <w:p>
            <w:pPr>
              <w:jc w:val="center"/>
              <w:rPr>
                <w:rFonts w:ascii="宋体" w:hAnsi="宋体" w:eastAsia="宋体"/>
                <w:snapToGrid w:val="0"/>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b/>
                <w:bCs/>
                <w:snapToGrid w:val="0"/>
                <w:sz w:val="22"/>
                <w:szCs w:val="22"/>
              </w:rPr>
            </w:pPr>
            <w:r>
              <w:rPr>
                <w:rFonts w:hint="eastAsia" w:ascii="宋体" w:hAnsi="宋体" w:eastAsia="宋体" w:cs="宋体"/>
                <w:color w:val="000000"/>
                <w:spacing w:val="-5"/>
                <w:kern w:val="0"/>
                <w:sz w:val="22"/>
                <w:szCs w:val="22"/>
                <w:lang w:bidi="ar"/>
              </w:rPr>
              <w:t>4</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5</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6</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7</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8</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9</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10</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492" w:type="dxa"/>
            <w:vAlign w:val="center"/>
          </w:tcPr>
          <w:p>
            <w:pPr>
              <w:widowControl/>
              <w:jc w:val="left"/>
              <w:textAlignment w:val="center"/>
              <w:rPr>
                <w:rFonts w:ascii="宋体" w:hAnsi="宋体" w:eastAsia="宋体" w:cs="宋体"/>
                <w:color w:val="000000"/>
                <w:spacing w:val="-5"/>
                <w:kern w:val="0"/>
                <w:sz w:val="22"/>
                <w:szCs w:val="22"/>
                <w:lang w:bidi="ar"/>
              </w:rPr>
            </w:pPr>
            <w:r>
              <w:rPr>
                <w:rFonts w:hint="eastAsia" w:ascii="宋体" w:hAnsi="宋体" w:eastAsia="宋体" w:cs="宋体"/>
                <w:color w:val="000000"/>
                <w:spacing w:val="-5"/>
                <w:kern w:val="0"/>
                <w:sz w:val="22"/>
                <w:szCs w:val="22"/>
                <w:lang w:bidi="ar"/>
              </w:rPr>
              <w:t>11</w:t>
            </w:r>
          </w:p>
        </w:tc>
        <w:tc>
          <w:tcPr>
            <w:tcW w:w="1452" w:type="dxa"/>
            <w:vAlign w:val="center"/>
          </w:tcPr>
          <w:p>
            <w:pPr>
              <w:jc w:val="center"/>
              <w:rPr>
                <w:rFonts w:ascii="宋体" w:hAnsi="宋体" w:eastAsia="宋体"/>
                <w:sz w:val="22"/>
                <w:szCs w:val="22"/>
              </w:rPr>
            </w:pPr>
          </w:p>
        </w:tc>
        <w:tc>
          <w:tcPr>
            <w:tcW w:w="1440" w:type="dxa"/>
            <w:vAlign w:val="center"/>
          </w:tcPr>
          <w:p>
            <w:pPr>
              <w:jc w:val="center"/>
              <w:rPr>
                <w:rFonts w:ascii="宋体" w:hAnsi="宋体" w:eastAsia="宋体"/>
                <w:bCs/>
                <w:snapToGrid w:val="0"/>
                <w:sz w:val="22"/>
                <w:szCs w:val="22"/>
              </w:rPr>
            </w:pPr>
          </w:p>
        </w:tc>
        <w:tc>
          <w:tcPr>
            <w:tcW w:w="3587" w:type="dxa"/>
            <w:vAlign w:val="center"/>
          </w:tcPr>
          <w:p>
            <w:pPr>
              <w:jc w:val="center"/>
              <w:rPr>
                <w:rFonts w:ascii="宋体" w:hAnsi="宋体" w:eastAsia="宋体"/>
                <w:bCs/>
                <w:snapToGrid w:val="0"/>
                <w:sz w:val="22"/>
                <w:szCs w:val="22"/>
              </w:rPr>
            </w:pPr>
          </w:p>
        </w:tc>
        <w:tc>
          <w:tcPr>
            <w:tcW w:w="1815" w:type="dxa"/>
            <w:vAlign w:val="center"/>
          </w:tcPr>
          <w:p>
            <w:pPr>
              <w:jc w:val="center"/>
              <w:rPr>
                <w:rFonts w:ascii="宋体" w:hAnsi="宋体" w:eastAsia="宋体"/>
                <w:bCs/>
                <w:snapToGrid w:val="0"/>
                <w:sz w:val="22"/>
                <w:szCs w:val="22"/>
              </w:rPr>
            </w:pPr>
          </w:p>
        </w:tc>
        <w:tc>
          <w:tcPr>
            <w:tcW w:w="2835" w:type="dxa"/>
            <w:vAlign w:val="center"/>
          </w:tcPr>
          <w:p>
            <w:pPr>
              <w:jc w:val="center"/>
              <w:rPr>
                <w:rFonts w:ascii="宋体" w:hAnsi="宋体" w:eastAsia="宋体"/>
                <w:bCs/>
                <w:snapToGrid w:val="0"/>
                <w:sz w:val="22"/>
                <w:szCs w:val="22"/>
              </w:rPr>
            </w:pPr>
          </w:p>
        </w:tc>
        <w:tc>
          <w:tcPr>
            <w:tcW w:w="1401" w:type="dxa"/>
            <w:vAlign w:val="center"/>
          </w:tcPr>
          <w:p>
            <w:pPr>
              <w:jc w:val="center"/>
              <w:rPr>
                <w:rFonts w:ascii="宋体" w:hAnsi="宋体" w:eastAsia="宋体"/>
                <w:bCs/>
                <w:snapToGrid w:val="0"/>
                <w:sz w:val="22"/>
                <w:szCs w:val="22"/>
              </w:rPr>
            </w:pPr>
          </w:p>
        </w:tc>
        <w:tc>
          <w:tcPr>
            <w:tcW w:w="1096" w:type="dxa"/>
            <w:vAlign w:val="center"/>
          </w:tcPr>
          <w:p>
            <w:pPr>
              <w:jc w:val="center"/>
              <w:rPr>
                <w:rFonts w:ascii="宋体" w:hAnsi="宋体" w:eastAsia="宋体"/>
                <w:sz w:val="22"/>
                <w:szCs w:val="22"/>
              </w:rPr>
            </w:pPr>
          </w:p>
        </w:tc>
        <w:tc>
          <w:tcPr>
            <w:tcW w:w="1073" w:type="dxa"/>
            <w:vAlign w:val="center"/>
          </w:tcPr>
          <w:p>
            <w:pPr>
              <w:jc w:val="center"/>
              <w:rPr>
                <w:rFonts w:ascii="宋体" w:hAnsi="宋体" w:eastAsia="宋体"/>
                <w:sz w:val="22"/>
                <w:szCs w:val="22"/>
              </w:rPr>
            </w:pPr>
          </w:p>
        </w:tc>
      </w:tr>
    </w:tbl>
    <w:p>
      <w:pPr>
        <w:spacing w:after="93" w:afterLines="30"/>
        <w:ind w:firstLine="440" w:firstLineChars="200"/>
        <w:jc w:val="left"/>
        <w:rPr>
          <w:rFonts w:ascii="宋体" w:hAnsi="宋体" w:eastAsia="宋体"/>
          <w:snapToGrid w:val="0"/>
          <w:sz w:val="22"/>
          <w:szCs w:val="22"/>
        </w:rPr>
      </w:pPr>
      <w:r>
        <w:rPr>
          <w:rFonts w:hint="eastAsia" w:ascii="宋体" w:hAnsi="宋体" w:eastAsia="宋体"/>
          <w:snapToGrid w:val="0"/>
          <w:sz w:val="22"/>
          <w:szCs w:val="22"/>
        </w:rPr>
        <w:t>说明： 评审通过的用“○”表示，未通过用“×”表示。结论用“通过”或“未通过”表示。</w:t>
      </w:r>
    </w:p>
    <w:p>
      <w:pPr>
        <w:ind w:firstLine="440" w:firstLineChars="200"/>
        <w:jc w:val="left"/>
        <w:rPr>
          <w:rFonts w:ascii="宋体" w:hAnsi="宋体" w:eastAsia="宋体"/>
          <w:snapToGrid w:val="0"/>
          <w:sz w:val="22"/>
          <w:szCs w:val="22"/>
        </w:rPr>
      </w:pPr>
      <w:r>
        <w:rPr>
          <w:rFonts w:hint="eastAsia" w:ascii="宋体" w:hAnsi="宋体" w:eastAsia="宋体"/>
          <w:snapToGrid w:val="0"/>
          <w:sz w:val="22"/>
          <w:szCs w:val="22"/>
        </w:rPr>
        <w:t xml:space="preserve">评委签名：                                  </w:t>
      </w:r>
    </w:p>
    <w:p>
      <w:pPr>
        <w:ind w:firstLine="440" w:firstLineChars="200"/>
        <w:jc w:val="left"/>
        <w:rPr>
          <w:rFonts w:ascii="宋体" w:hAnsi="宋体" w:eastAsia="宋体"/>
          <w:snapToGrid w:val="0"/>
          <w:sz w:val="22"/>
          <w:szCs w:val="22"/>
        </w:rPr>
      </w:pPr>
      <w:r>
        <w:rPr>
          <w:rFonts w:hint="eastAsia" w:ascii="宋体" w:hAnsi="宋体" w:eastAsia="宋体"/>
          <w:bCs/>
          <w:snapToGrid w:val="0"/>
          <w:sz w:val="22"/>
          <w:szCs w:val="22"/>
        </w:rPr>
        <w:t xml:space="preserve">监督人员签名：  </w:t>
      </w:r>
      <w:r>
        <w:rPr>
          <w:rFonts w:hint="eastAsia" w:ascii="宋体" w:hAnsi="宋体" w:eastAsia="宋体"/>
          <w:snapToGrid w:val="0"/>
          <w:sz w:val="22"/>
          <w:szCs w:val="22"/>
        </w:rPr>
        <w:t xml:space="preserve">                                                                                    </w:t>
      </w:r>
    </w:p>
    <w:p>
      <w:pPr>
        <w:ind w:firstLine="10780" w:firstLineChars="4900"/>
        <w:jc w:val="left"/>
        <w:rPr>
          <w:rFonts w:ascii="宋体" w:hAnsi="宋体" w:eastAsia="宋体"/>
          <w:snapToGrid w:val="0"/>
          <w:sz w:val="22"/>
          <w:szCs w:val="22"/>
        </w:rPr>
      </w:pPr>
      <w:r>
        <w:rPr>
          <w:rFonts w:hint="eastAsia" w:ascii="宋体" w:hAnsi="宋体" w:eastAsia="宋体"/>
          <w:snapToGrid w:val="0"/>
          <w:sz w:val="22"/>
          <w:szCs w:val="22"/>
        </w:rPr>
        <w:t xml:space="preserve">  日期：     年    月    日 </w:t>
      </w:r>
    </w:p>
    <w:p>
      <w:pPr>
        <w:spacing w:line="360" w:lineRule="auto"/>
        <w:jc w:val="center"/>
        <w:rPr>
          <w:rFonts w:hint="eastAsia" w:ascii="宋体" w:hAnsi="宋体"/>
          <w:b/>
          <w:bCs/>
          <w:snapToGrid w:val="0"/>
          <w:sz w:val="32"/>
          <w:szCs w:val="32"/>
        </w:rPr>
        <w:sectPr>
          <w:pgSz w:w="16838" w:h="11906" w:orient="landscape"/>
          <w:pgMar w:top="720" w:right="720" w:bottom="720" w:left="720" w:header="851" w:footer="992" w:gutter="0"/>
          <w:cols w:space="425" w:num="1"/>
          <w:docGrid w:type="lines" w:linePitch="312" w:charSpace="0"/>
        </w:sectPr>
      </w:pPr>
    </w:p>
    <w:p>
      <w:pPr>
        <w:spacing w:line="360" w:lineRule="auto"/>
        <w:jc w:val="left"/>
        <w:outlineLvl w:val="9"/>
        <w:rPr>
          <w:rFonts w:hint="eastAsia" w:ascii="宋体" w:hAnsi="宋体"/>
          <w:b/>
          <w:bCs/>
          <w:snapToGrid w:val="0"/>
          <w:sz w:val="32"/>
          <w:szCs w:val="32"/>
        </w:rPr>
      </w:pPr>
      <w:bookmarkStart w:id="236" w:name="_Toc15044"/>
      <w:bookmarkStart w:id="237" w:name="_Toc6747"/>
      <w:bookmarkStart w:id="238" w:name="_Toc10648"/>
      <w:r>
        <w:rPr>
          <w:rFonts w:hint="eastAsia" w:ascii="宋体" w:hAnsi="宋体"/>
          <w:b/>
          <w:bCs/>
          <w:snapToGrid w:val="0"/>
          <w:sz w:val="32"/>
          <w:szCs w:val="32"/>
          <w:lang w:val="en-US" w:eastAsia="zh-CN"/>
        </w:rPr>
        <w:t>附表4：</w:t>
      </w:r>
      <w:bookmarkEnd w:id="236"/>
      <w:bookmarkEnd w:id="237"/>
      <w:bookmarkEnd w:id="238"/>
    </w:p>
    <w:p>
      <w:pPr>
        <w:spacing w:line="360" w:lineRule="auto"/>
        <w:jc w:val="center"/>
        <w:rPr>
          <w:rFonts w:hint="eastAsia" w:ascii="宋体" w:hAnsi="宋体"/>
          <w:b/>
          <w:bCs/>
          <w:snapToGrid w:val="0"/>
          <w:sz w:val="32"/>
          <w:szCs w:val="32"/>
        </w:rPr>
      </w:pPr>
      <w:r>
        <w:rPr>
          <w:rFonts w:hint="eastAsia" w:ascii="宋体" w:hAnsi="宋体"/>
          <w:b/>
          <w:bCs/>
          <w:snapToGrid w:val="0"/>
          <w:sz w:val="32"/>
          <w:szCs w:val="32"/>
          <w:lang w:val="en-US" w:eastAsia="zh-CN"/>
        </w:rPr>
        <w:t>参选文详细评审</w:t>
      </w:r>
      <w:r>
        <w:rPr>
          <w:rFonts w:hint="eastAsia" w:ascii="宋体" w:hAnsi="宋体"/>
          <w:b/>
          <w:bCs/>
          <w:snapToGrid w:val="0"/>
          <w:sz w:val="32"/>
          <w:szCs w:val="32"/>
        </w:rPr>
        <w:t>表</w:t>
      </w:r>
    </w:p>
    <w:p>
      <w:pPr>
        <w:spacing w:line="360" w:lineRule="auto"/>
        <w:jc w:val="left"/>
        <w:rPr>
          <w:rFonts w:ascii="宋体" w:hAnsi="宋体" w:eastAsia="宋体"/>
          <w:bCs/>
          <w:snapToGrid w:val="0"/>
          <w:sz w:val="22"/>
          <w:szCs w:val="22"/>
        </w:rPr>
      </w:pPr>
      <w:r>
        <w:rPr>
          <w:rFonts w:hint="eastAsia" w:ascii="宋体" w:hAnsi="宋体" w:eastAsia="宋体"/>
          <w:bCs/>
          <w:snapToGrid w:val="0"/>
          <w:sz w:val="22"/>
          <w:szCs w:val="22"/>
          <w:lang w:val="en-US" w:eastAsia="zh-CN"/>
        </w:rPr>
        <w:t>比选</w:t>
      </w:r>
      <w:r>
        <w:rPr>
          <w:rFonts w:hint="eastAsia" w:ascii="宋体" w:hAnsi="宋体" w:eastAsia="宋体"/>
          <w:bCs/>
          <w:snapToGrid w:val="0"/>
          <w:sz w:val="22"/>
          <w:szCs w:val="22"/>
        </w:rPr>
        <w:t>项目名称：深圳铁路投资建设集团有限公司住房公积金账户和2020年政府专项债专户合作银行比选项目</w:t>
      </w:r>
    </w:p>
    <w:tbl>
      <w:tblPr>
        <w:tblStyle w:val="10"/>
        <w:tblW w:w="15134" w:type="dxa"/>
        <w:tblInd w:w="0" w:type="dxa"/>
        <w:tblLayout w:type="fixed"/>
        <w:tblCellMar>
          <w:top w:w="0" w:type="dxa"/>
          <w:left w:w="0" w:type="dxa"/>
          <w:bottom w:w="0" w:type="dxa"/>
          <w:right w:w="0" w:type="dxa"/>
        </w:tblCellMar>
      </w:tblPr>
      <w:tblGrid>
        <w:gridCol w:w="1301"/>
        <w:gridCol w:w="720"/>
        <w:gridCol w:w="720"/>
        <w:gridCol w:w="833"/>
        <w:gridCol w:w="824"/>
        <w:gridCol w:w="793"/>
        <w:gridCol w:w="703"/>
        <w:gridCol w:w="690"/>
        <w:gridCol w:w="870"/>
        <w:gridCol w:w="825"/>
        <w:gridCol w:w="765"/>
        <w:gridCol w:w="630"/>
        <w:gridCol w:w="600"/>
        <w:gridCol w:w="1035"/>
        <w:gridCol w:w="780"/>
        <w:gridCol w:w="960"/>
        <w:gridCol w:w="1260"/>
        <w:gridCol w:w="825"/>
      </w:tblGrid>
      <w:tr>
        <w:tblPrEx>
          <w:tblCellMar>
            <w:top w:w="0" w:type="dxa"/>
            <w:left w:w="0" w:type="dxa"/>
            <w:bottom w:w="0" w:type="dxa"/>
            <w:right w:w="0" w:type="dxa"/>
          </w:tblCellMar>
        </w:tblPrEx>
        <w:trPr>
          <w:trHeight w:val="612" w:hRule="atLeast"/>
        </w:trPr>
        <w:tc>
          <w:tcPr>
            <w:tcW w:w="1301"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银行名称</w:t>
            </w:r>
          </w:p>
        </w:tc>
        <w:tc>
          <w:tcPr>
            <w:tcW w:w="2273" w:type="dxa"/>
            <w:gridSpan w:val="3"/>
            <w:tcBorders>
              <w:top w:val="single" w:color="000000" w:sz="4" w:space="0"/>
              <w:left w:val="single" w:color="000000" w:sz="4" w:space="0"/>
              <w:bottom w:val="single" w:color="000000" w:sz="4" w:space="0"/>
              <w:right w:val="nil"/>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资产实力和资本安全（15分）</w:t>
            </w:r>
          </w:p>
        </w:tc>
        <w:tc>
          <w:tcPr>
            <w:tcW w:w="1617" w:type="dxa"/>
            <w:gridSpan w:val="2"/>
            <w:tcBorders>
              <w:top w:val="single" w:color="000000" w:sz="4" w:space="0"/>
              <w:left w:val="single" w:color="000000" w:sz="4" w:space="0"/>
              <w:bottom w:val="single" w:color="000000" w:sz="4" w:space="0"/>
              <w:right w:val="nil"/>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服务水平（10分）</w:t>
            </w:r>
          </w:p>
        </w:tc>
        <w:tc>
          <w:tcPr>
            <w:tcW w:w="1393" w:type="dxa"/>
            <w:gridSpan w:val="2"/>
            <w:tcBorders>
              <w:top w:val="single" w:color="000000" w:sz="4" w:space="0"/>
              <w:left w:val="single" w:color="000000" w:sz="4" w:space="0"/>
              <w:bottom w:val="single" w:color="000000" w:sz="4" w:space="0"/>
              <w:right w:val="nil"/>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利率报价（25分）</w:t>
            </w:r>
          </w:p>
        </w:tc>
        <w:tc>
          <w:tcPr>
            <w:tcW w:w="3690"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银企合作规模（25分）</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地方税费贡献（10分）</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资金业务参与度（15分）</w:t>
            </w:r>
          </w:p>
        </w:tc>
        <w:tc>
          <w:tcPr>
            <w:tcW w:w="82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总计</w:t>
            </w:r>
          </w:p>
        </w:tc>
      </w:tr>
      <w:tr>
        <w:tblPrEx>
          <w:tblCellMar>
            <w:top w:w="0" w:type="dxa"/>
            <w:left w:w="0" w:type="dxa"/>
            <w:bottom w:w="0" w:type="dxa"/>
            <w:right w:w="0" w:type="dxa"/>
          </w:tblCellMar>
        </w:tblPrEx>
        <w:trPr>
          <w:trHeight w:val="1699" w:hRule="atLeast"/>
        </w:trPr>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B4C6E7" w:themeFill="accent5" w:themeFillTint="66"/>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深圳分行2019年总资产规模（5分）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拨备覆盖率（5分）</w:t>
            </w:r>
          </w:p>
        </w:tc>
        <w:tc>
          <w:tcPr>
            <w:tcW w:w="833"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资本充足率（5分）</w:t>
            </w:r>
          </w:p>
        </w:tc>
        <w:tc>
          <w:tcPr>
            <w:tcW w:w="824"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服务能力（5分）</w:t>
            </w:r>
          </w:p>
        </w:tc>
        <w:tc>
          <w:tcPr>
            <w:tcW w:w="793"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费用减免（5分）</w:t>
            </w:r>
          </w:p>
        </w:tc>
        <w:tc>
          <w:tcPr>
            <w:tcW w:w="703"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通知存款利率（15分）</w:t>
            </w:r>
          </w:p>
        </w:tc>
        <w:tc>
          <w:tcPr>
            <w:tcW w:w="69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协定存款利率（10分）</w:t>
            </w:r>
          </w:p>
        </w:tc>
        <w:tc>
          <w:tcPr>
            <w:tcW w:w="8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贷款规模（5分）</w:t>
            </w:r>
          </w:p>
        </w:tc>
        <w:tc>
          <w:tcPr>
            <w:tcW w:w="82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按揭贷款累计放款额（5分）</w:t>
            </w:r>
          </w:p>
        </w:tc>
        <w:tc>
          <w:tcPr>
            <w:tcW w:w="76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截止2020年4月30日贷款余额（5分）</w:t>
            </w:r>
          </w:p>
        </w:tc>
        <w:tc>
          <w:tcPr>
            <w:tcW w:w="63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债券认购（5分）</w:t>
            </w:r>
          </w:p>
        </w:tc>
        <w:tc>
          <w:tcPr>
            <w:tcW w:w="60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理财认购（5分）</w:t>
            </w:r>
          </w:p>
        </w:tc>
        <w:tc>
          <w:tcPr>
            <w:tcW w:w="103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2019年度向深圳市缴纳税额（8分）</w:t>
            </w:r>
          </w:p>
        </w:tc>
        <w:tc>
          <w:tcPr>
            <w:tcW w:w="78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总部是否属于深圳辖区（2分）</w:t>
            </w:r>
          </w:p>
        </w:tc>
        <w:tc>
          <w:tcPr>
            <w:tcW w:w="9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近两年集团资金业务招标采购和债券认购的中标情况。（9分）</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近两年集团资金业务招标采购项目的参与程度。（6分）</w:t>
            </w:r>
          </w:p>
        </w:tc>
        <w:tc>
          <w:tcPr>
            <w:tcW w:w="82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满分100分</w:t>
            </w: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1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328" w:hRule="atLeast"/>
        </w:trPr>
        <w:tc>
          <w:tcPr>
            <w:tcW w:w="13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kern w:val="0"/>
                <w:sz w:val="22"/>
                <w:szCs w:val="22"/>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eastAsia="宋体" w:cs="宋体"/>
                <w:color w:val="000000"/>
                <w:sz w:val="22"/>
                <w:szCs w:val="22"/>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eastAsia="宋体" w:cs="宋体"/>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eastAsia="宋体" w:cs="宋体"/>
                <w:color w:val="000000"/>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eastAsia="宋体" w:cs="宋体"/>
                <w:color w:val="000000"/>
                <w:sz w:val="22"/>
                <w:szCs w:val="22"/>
              </w:rPr>
            </w:pPr>
          </w:p>
        </w:tc>
      </w:tr>
    </w:tbl>
    <w:p>
      <w:pPr>
        <w:jc w:val="left"/>
        <w:rPr>
          <w:rFonts w:ascii="宋体" w:hAnsi="宋体" w:eastAsia="宋体"/>
          <w:snapToGrid w:val="0"/>
          <w:sz w:val="22"/>
          <w:szCs w:val="22"/>
        </w:rPr>
      </w:pPr>
      <w:r>
        <w:rPr>
          <w:rFonts w:hint="eastAsia" w:ascii="宋体" w:hAnsi="宋体" w:eastAsia="宋体"/>
          <w:snapToGrid w:val="0"/>
          <w:sz w:val="22"/>
          <w:szCs w:val="22"/>
        </w:rPr>
        <w:t xml:space="preserve">评委签名：       </w:t>
      </w:r>
    </w:p>
    <w:p>
      <w:pPr>
        <w:jc w:val="left"/>
        <w:rPr>
          <w:rFonts w:ascii="宋体" w:hAnsi="宋体" w:eastAsia="宋体"/>
          <w:snapToGrid w:val="0"/>
          <w:sz w:val="22"/>
          <w:szCs w:val="22"/>
        </w:rPr>
      </w:pPr>
      <w:r>
        <w:rPr>
          <w:rFonts w:hint="eastAsia" w:ascii="宋体" w:hAnsi="宋体" w:eastAsia="宋体"/>
          <w:snapToGrid w:val="0"/>
          <w:sz w:val="22"/>
          <w:szCs w:val="22"/>
        </w:rPr>
        <w:t xml:space="preserve">                </w:t>
      </w:r>
    </w:p>
    <w:p>
      <w:pPr>
        <w:rPr>
          <w:rFonts w:hint="eastAsia" w:ascii="宋体" w:hAnsi="宋体" w:eastAsia="宋体"/>
          <w:bCs/>
          <w:snapToGrid w:val="0"/>
          <w:sz w:val="22"/>
          <w:szCs w:val="22"/>
        </w:rPr>
        <w:sectPr>
          <w:pgSz w:w="16838" w:h="11906" w:orient="landscape"/>
          <w:pgMar w:top="720" w:right="720" w:bottom="720" w:left="720" w:header="851" w:footer="992" w:gutter="0"/>
          <w:cols w:space="425" w:num="1"/>
          <w:docGrid w:type="lines" w:linePitch="312" w:charSpace="0"/>
        </w:sectPr>
      </w:pPr>
      <w:r>
        <w:rPr>
          <w:rFonts w:hint="eastAsia" w:ascii="宋体" w:hAnsi="宋体" w:eastAsia="宋体"/>
          <w:bCs/>
          <w:snapToGrid w:val="0"/>
          <w:sz w:val="22"/>
          <w:szCs w:val="22"/>
        </w:rPr>
        <w:t>监督人员签名：</w:t>
      </w:r>
    </w:p>
    <w:tbl>
      <w:tblPr>
        <w:tblStyle w:val="10"/>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附表5</w:t>
            </w:r>
            <w:bookmarkStart w:id="239" w:name="_Toc197850644"/>
            <w:bookmarkStart w:id="240" w:name="_Toc197404916"/>
            <w:r>
              <w:rPr>
                <w:rFonts w:hint="eastAsia" w:ascii="宋体" w:hAnsi="宋体"/>
                <w:b/>
                <w:sz w:val="24"/>
              </w:rPr>
              <w:t>参选人</w:t>
            </w:r>
            <w:r>
              <w:rPr>
                <w:rFonts w:hint="eastAsia" w:ascii="宋体" w:hAnsi="宋体"/>
                <w:b/>
                <w:sz w:val="24"/>
                <w:lang w:val="en-US" w:eastAsia="zh-CN"/>
              </w:rPr>
              <w:t>得分结果</w:t>
            </w:r>
            <w:r>
              <w:rPr>
                <w:rFonts w:hint="eastAsia" w:ascii="宋体" w:hAnsi="宋体"/>
                <w:b/>
                <w:sz w:val="24"/>
              </w:rPr>
              <w:t>排序表</w:t>
            </w:r>
          </w:p>
          <w:p>
            <w:pPr>
              <w:widowControl/>
              <w:spacing w:line="480" w:lineRule="atLeast"/>
              <w:jc w:val="center"/>
              <w:rPr>
                <w:rFonts w:ascii="宋体" w:hAnsi="宋体" w:cs="宋体"/>
                <w:b/>
                <w:bCs/>
                <w:kern w:val="0"/>
                <w:sz w:val="32"/>
                <w:szCs w:val="32"/>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rPr>
              <w:t>参选人得分</w:t>
            </w:r>
            <w:r>
              <w:rPr>
                <w:rFonts w:hint="eastAsia" w:ascii="宋体" w:hAnsi="宋体" w:cs="宋体"/>
                <w:b/>
                <w:bCs/>
                <w:kern w:val="0"/>
                <w:sz w:val="32"/>
                <w:szCs w:val="32"/>
                <w:lang w:val="en-US" w:eastAsia="zh-CN"/>
              </w:rPr>
              <w:t>结果</w:t>
            </w:r>
            <w:r>
              <w:rPr>
                <w:rFonts w:hint="eastAsia" w:ascii="宋体" w:hAnsi="宋体" w:cs="宋体"/>
                <w:b/>
                <w:bCs/>
                <w:kern w:val="0"/>
                <w:sz w:val="32"/>
                <w:szCs w:val="32"/>
              </w:rPr>
              <w:t>排序表</w:t>
            </w:r>
          </w:p>
          <w:p>
            <w:pPr>
              <w:spacing w:after="120" w:afterLines="50" w:line="480" w:lineRule="atLeast"/>
              <w:ind w:right="390"/>
              <w:rPr>
                <w:rFonts w:ascii="宋体" w:hAnsi="宋体" w:cs="宋体"/>
                <w:b/>
                <w:kern w:val="0"/>
                <w:sz w:val="28"/>
                <w:szCs w:val="28"/>
              </w:rPr>
            </w:pPr>
            <w:r>
              <w:rPr>
                <w:rFonts w:hint="eastAsia" w:ascii="宋体" w:hAnsi="宋体" w:cs="宋体"/>
                <w:b/>
                <w:kern w:val="0"/>
                <w:sz w:val="24"/>
                <w:szCs w:val="28"/>
              </w:rPr>
              <w:t>比选项目名称：</w:t>
            </w:r>
            <w:r>
              <w:rPr>
                <w:rFonts w:hint="eastAsia" w:ascii="宋体" w:hAnsi="宋体" w:eastAsia="宋体"/>
                <w:b/>
                <w:bCs/>
                <w:snapToGrid w:val="0"/>
                <w:sz w:val="22"/>
                <w:szCs w:val="22"/>
              </w:rPr>
              <w:t>深圳铁路投资建设集团有限公司住房公积金账户和2020年政府专项债专户合作银行比选项目</w:t>
            </w:r>
          </w:p>
          <w:p>
            <w:pPr>
              <w:widowControl/>
              <w:spacing w:line="480" w:lineRule="atLeast"/>
              <w:jc w:val="right"/>
              <w:rPr>
                <w:rFonts w:ascii="宋体" w:hAnsi="宋体" w:cs="Arial"/>
                <w:b/>
                <w:bCs/>
                <w:kern w:val="0"/>
                <w:sz w:val="36"/>
                <w:szCs w:val="36"/>
              </w:rPr>
            </w:pPr>
            <w:r>
              <w:rPr>
                <w:rFonts w:hint="eastAsia" w:ascii="宋体" w:hAnsi="宋体" w:cs="宋体"/>
                <w:kern w:val="0"/>
                <w:sz w:val="24"/>
                <w:szCs w:val="24"/>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napToGrid w:val="0"/>
              <w:spacing w:line="360" w:lineRule="auto"/>
              <w:ind w:firstLine="481"/>
              <w:outlineLvl w:val="0"/>
              <w:rPr>
                <w:rFonts w:ascii="宋体" w:hAnsi="宋体"/>
                <w:b/>
                <w:bCs/>
                <w:kern w:val="0"/>
                <w:sz w:val="22"/>
                <w:szCs w:val="22"/>
              </w:rPr>
            </w:pPr>
            <w:bookmarkStart w:id="241" w:name="_Toc9295"/>
            <w:bookmarkStart w:id="242" w:name="_Toc23850"/>
            <w:bookmarkStart w:id="243" w:name="_Toc26301"/>
            <w:bookmarkStart w:id="244" w:name="_Toc3219"/>
            <w:bookmarkStart w:id="245" w:name="_Toc3440"/>
            <w:bookmarkStart w:id="246" w:name="_Toc6350"/>
            <w:bookmarkStart w:id="247" w:name="_Toc30970"/>
            <w:bookmarkStart w:id="248" w:name="_Toc5762"/>
            <w:bookmarkStart w:id="249" w:name="_Toc11062"/>
            <w:bookmarkStart w:id="250" w:name="_Toc4851"/>
            <w:bookmarkStart w:id="251" w:name="_Toc9639"/>
            <w:bookmarkStart w:id="252" w:name="_Toc10483"/>
            <w:bookmarkStart w:id="253" w:name="OLE_LINK14"/>
            <w:r>
              <w:rPr>
                <w:rFonts w:hint="eastAsia" w:ascii="宋体" w:hAnsi="宋体"/>
                <w:b/>
                <w:bCs/>
                <w:kern w:val="0"/>
                <w:sz w:val="22"/>
                <w:szCs w:val="22"/>
              </w:rPr>
              <w:t>在评分相同的情况下，抽签决定银行选择的顺序。未中签参选银行则按排名顺序作为替补银行。</w:t>
            </w:r>
            <w:bookmarkEnd w:id="241"/>
            <w:bookmarkEnd w:id="242"/>
            <w:bookmarkEnd w:id="243"/>
            <w:bookmarkEnd w:id="244"/>
            <w:bookmarkEnd w:id="245"/>
            <w:bookmarkEnd w:id="246"/>
            <w:bookmarkEnd w:id="247"/>
            <w:bookmarkEnd w:id="248"/>
            <w:bookmarkEnd w:id="249"/>
            <w:bookmarkEnd w:id="250"/>
            <w:bookmarkEnd w:id="251"/>
            <w:bookmarkEnd w:id="252"/>
          </w:p>
          <w:bookmarkEnd w:id="253"/>
          <w:p>
            <w:pPr>
              <w:spacing w:line="480" w:lineRule="atLeast"/>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2946" w:hRule="atLeast"/>
        </w:trPr>
        <w:tc>
          <w:tcPr>
            <w:tcW w:w="9169" w:type="dxa"/>
            <w:gridSpan w:val="5"/>
            <w:tcBorders>
              <w:top w:val="single" w:color="auto" w:sz="6" w:space="0"/>
              <w:left w:val="single" w:color="auto" w:sz="8" w:space="0"/>
              <w:bottom w:val="single" w:color="auto" w:sz="8" w:space="0"/>
              <w:right w:val="single" w:color="auto" w:sz="8" w:space="0"/>
            </w:tcBorders>
          </w:tcPr>
          <w:p>
            <w:pPr>
              <w:widowControl/>
              <w:spacing w:line="480" w:lineRule="atLeast"/>
              <w:ind w:left="262"/>
              <w:rPr>
                <w:rFonts w:ascii="宋体" w:hAnsi="宋体" w:cs="Arial"/>
                <w:kern w:val="0"/>
              </w:rPr>
            </w:pPr>
          </w:p>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监督（签名）：</w:t>
            </w:r>
          </w:p>
          <w:p>
            <w:pPr>
              <w:widowControl/>
              <w:spacing w:line="480" w:lineRule="atLeast"/>
              <w:ind w:left="262"/>
              <w:rPr>
                <w:rFonts w:ascii="宋体" w:hAnsi="宋体" w:cs="Arial"/>
                <w:kern w:val="0"/>
                <w:szCs w:val="24"/>
              </w:rPr>
            </w:pPr>
          </w:p>
        </w:tc>
      </w:tr>
      <w:bookmarkEnd w:id="239"/>
      <w:bookmarkEnd w:id="240"/>
    </w:tbl>
    <w:p>
      <w:pPr>
        <w:rPr>
          <w:rFonts w:hint="eastAsia" w:ascii="宋体" w:hAnsi="宋体" w:eastAsia="宋体"/>
          <w:snapToGrid w:val="0"/>
          <w:sz w:val="22"/>
          <w:szCs w:val="22"/>
        </w:rPr>
        <w:sectPr>
          <w:pgSz w:w="11906" w:h="16838"/>
          <w:pgMar w:top="720" w:right="720" w:bottom="720" w:left="720" w:header="851" w:footer="992" w:gutter="0"/>
          <w:cols w:space="425" w:num="1"/>
          <w:docGrid w:type="lines" w:linePitch="312" w:charSpace="0"/>
        </w:sectPr>
      </w:pPr>
      <w:r>
        <w:rPr>
          <w:rFonts w:hint="eastAsia" w:ascii="宋体" w:hAnsi="宋体" w:eastAsia="宋体"/>
          <w:bCs/>
          <w:snapToGrid w:val="0"/>
          <w:sz w:val="22"/>
          <w:szCs w:val="22"/>
        </w:rPr>
        <w:t xml:space="preserve">                                                                                                </w:t>
      </w:r>
      <w:r>
        <w:rPr>
          <w:rFonts w:hint="eastAsia" w:ascii="宋体" w:hAnsi="宋体" w:eastAsia="宋体"/>
          <w:snapToGrid w:val="0"/>
          <w:sz w:val="22"/>
          <w:szCs w:val="22"/>
        </w:rPr>
        <w:t>日期：     年    月    日</w:t>
      </w:r>
    </w:p>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6 </w:t>
      </w:r>
      <w:r>
        <w:rPr>
          <w:rFonts w:hint="eastAsia" w:ascii="宋体" w:hAnsi="宋体" w:cstheme="minorBidi"/>
          <w:b/>
          <w:bCs w:val="0"/>
          <w:kern w:val="2"/>
          <w:sz w:val="24"/>
          <w:szCs w:val="24"/>
          <w:lang w:val="en-US" w:eastAsia="zh-CN"/>
        </w:rPr>
        <w:t>抽签</w:t>
      </w:r>
      <w:r>
        <w:rPr>
          <w:rFonts w:hint="eastAsia" w:ascii="宋体" w:hAnsi="宋体"/>
          <w:b/>
          <w:sz w:val="24"/>
        </w:rPr>
        <w:t>排序表</w:t>
      </w:r>
    </w:p>
    <w:p>
      <w:pPr>
        <w:widowControl/>
        <w:spacing w:line="480" w:lineRule="atLeast"/>
        <w:jc w:val="center"/>
        <w:rPr>
          <w:rFonts w:hint="eastAsia" w:ascii="宋体" w:hAnsi="宋体" w:cs="宋体"/>
          <w:b/>
          <w:bCs/>
          <w:kern w:val="0"/>
          <w:sz w:val="32"/>
          <w:szCs w:val="32"/>
          <w:lang w:val="en-US" w:eastAsia="zh-CN"/>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lang w:val="en-US" w:eastAsia="zh-CN"/>
        </w:rPr>
        <w:t>抽签排序</w:t>
      </w:r>
      <w:r>
        <w:rPr>
          <w:rFonts w:hint="eastAsia" w:ascii="宋体" w:hAnsi="宋体" w:cs="宋体"/>
          <w:b/>
          <w:bCs/>
          <w:kern w:val="0"/>
          <w:sz w:val="32"/>
          <w:szCs w:val="32"/>
        </w:rPr>
        <w:t>表</w:t>
      </w:r>
    </w:p>
    <w:p>
      <w:pPr>
        <w:widowControl/>
        <w:spacing w:line="480" w:lineRule="atLeast"/>
        <w:jc w:val="center"/>
        <w:rPr>
          <w:rFonts w:ascii="宋体" w:hAnsi="宋体" w:cs="宋体"/>
          <w:b/>
          <w:bCs/>
          <w:kern w:val="0"/>
          <w:sz w:val="32"/>
          <w:szCs w:val="32"/>
        </w:rPr>
      </w:pPr>
    </w:p>
    <w:p>
      <w:pPr>
        <w:spacing w:after="120" w:afterLines="50" w:line="480" w:lineRule="atLeast"/>
        <w:ind w:right="390"/>
        <w:rPr>
          <w:rFonts w:ascii="宋体" w:hAnsi="宋体" w:cs="宋体"/>
          <w:b/>
          <w:kern w:val="0"/>
          <w:sz w:val="28"/>
          <w:szCs w:val="28"/>
        </w:rPr>
      </w:pPr>
      <w:r>
        <w:rPr>
          <w:rFonts w:hint="eastAsia" w:ascii="宋体" w:hAnsi="宋体" w:cs="宋体"/>
          <w:b/>
          <w:kern w:val="0"/>
          <w:sz w:val="24"/>
          <w:szCs w:val="28"/>
        </w:rPr>
        <w:t>比选项目名称：</w:t>
      </w:r>
      <w:r>
        <w:rPr>
          <w:rFonts w:hint="eastAsia" w:ascii="宋体" w:hAnsi="宋体" w:eastAsia="宋体"/>
          <w:b/>
          <w:bCs/>
          <w:snapToGrid w:val="0"/>
          <w:sz w:val="22"/>
          <w:szCs w:val="22"/>
        </w:rPr>
        <w:t>深圳铁路投资建设集团有限公司住房公积金账户和2020年政府专项债专户合作银行比选项目</w:t>
      </w:r>
    </w:p>
    <w:tbl>
      <w:tblPr>
        <w:tblStyle w:val="10"/>
        <w:tblW w:w="9397" w:type="dxa"/>
        <w:tblInd w:w="103" w:type="dxa"/>
        <w:tblLayout w:type="fixed"/>
        <w:tblCellMar>
          <w:top w:w="0" w:type="dxa"/>
          <w:left w:w="0" w:type="dxa"/>
          <w:bottom w:w="0" w:type="dxa"/>
          <w:right w:w="0" w:type="dxa"/>
        </w:tblCellMar>
      </w:tblPr>
      <w:tblGrid>
        <w:gridCol w:w="773"/>
        <w:gridCol w:w="2834"/>
        <w:gridCol w:w="1464"/>
        <w:gridCol w:w="4326"/>
      </w:tblGrid>
      <w:tr>
        <w:tblPrEx>
          <w:tblCellMar>
            <w:top w:w="0" w:type="dxa"/>
            <w:left w:w="0" w:type="dxa"/>
            <w:bottom w:w="0" w:type="dxa"/>
            <w:right w:w="0" w:type="dxa"/>
          </w:tblCellMar>
        </w:tblPrEx>
        <w:trPr>
          <w:trHeight w:val="131"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序号</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default" w:ascii="宋体" w:hAnsi="宋体"/>
                <w:b/>
                <w:bCs/>
                <w:lang w:val="en-US"/>
              </w:rPr>
            </w:pPr>
            <w:r>
              <w:rPr>
                <w:rFonts w:hint="eastAsia" w:ascii="宋体" w:hAnsi="宋体"/>
                <w:b/>
                <w:bCs/>
                <w:sz w:val="24"/>
                <w:lang w:val="en-US" w:eastAsia="zh-CN"/>
              </w:rPr>
              <w:t>抽签名次</w:t>
            </w:r>
          </w:p>
        </w:tc>
        <w:tc>
          <w:tcPr>
            <w:tcW w:w="4326"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b/>
                <w:bCs/>
                <w:lang w:val="en-US" w:eastAsia="zh-CN"/>
              </w:rPr>
            </w:pPr>
            <w:r>
              <w:rPr>
                <w:rFonts w:hint="eastAsia" w:ascii="宋体" w:hAnsi="宋体"/>
                <w:b/>
                <w:bCs/>
                <w:sz w:val="24"/>
                <w:lang w:val="en-US" w:eastAsia="zh-CN"/>
              </w:rPr>
              <w:t>银行确认</w:t>
            </w:r>
          </w:p>
        </w:tc>
      </w:tr>
      <w:tr>
        <w:tblPrEx>
          <w:tblCellMar>
            <w:top w:w="0" w:type="dxa"/>
            <w:left w:w="0" w:type="dxa"/>
            <w:bottom w:w="0" w:type="dxa"/>
            <w:right w:w="0" w:type="dxa"/>
          </w:tblCellMar>
        </w:tblPrEx>
        <w:trPr>
          <w:trHeight w:val="57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r>
              <w:rPr>
                <w:rFonts w:hint="eastAsia" w:ascii="宋体" w:hAnsi="宋体"/>
                <w:sz w:val="24"/>
              </w:rPr>
              <w:t>1</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Theme="minorEastAsia"/>
                <w:lang w:val="en-US" w:eastAsia="zh-CN"/>
              </w:rPr>
            </w:pPr>
          </w:p>
        </w:tc>
        <w:tc>
          <w:tcPr>
            <w:tcW w:w="432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55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2</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Theme="minorEastAsia"/>
                <w:lang w:val="en-US" w:eastAsia="zh-CN"/>
              </w:rPr>
            </w:pPr>
          </w:p>
        </w:tc>
        <w:tc>
          <w:tcPr>
            <w:tcW w:w="432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55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Theme="minorEastAsia"/>
                <w:sz w:val="24"/>
                <w:lang w:val="en-US" w:eastAsia="zh-CN"/>
              </w:rPr>
            </w:pPr>
            <w:r>
              <w:rPr>
                <w:rFonts w:hint="eastAsia" w:ascii="宋体" w:hAnsi="宋体"/>
                <w:sz w:val="24"/>
                <w:lang w:val="en-US" w:eastAsia="zh-CN"/>
              </w:rPr>
              <w:t>3</w:t>
            </w:r>
          </w:p>
        </w:tc>
        <w:tc>
          <w:tcPr>
            <w:tcW w:w="2834"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1464"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eastAsia" w:ascii="宋体" w:hAnsi="宋体" w:eastAsia="宋体"/>
                <w:b/>
                <w:bCs/>
                <w:snapToGrid w:val="0"/>
                <w:sz w:val="22"/>
                <w:szCs w:val="22"/>
                <w:lang w:val="en-US" w:eastAsia="zh-CN"/>
              </w:rPr>
            </w:pPr>
          </w:p>
        </w:tc>
        <w:tc>
          <w:tcPr>
            <w:tcW w:w="432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bl>
    <w:p>
      <w:pPr>
        <w:widowControl/>
        <w:spacing w:line="480" w:lineRule="atLeast"/>
        <w:rPr>
          <w:rFonts w:hint="eastAsia" w:ascii="宋体" w:hAnsi="宋体"/>
          <w:b/>
          <w:sz w:val="24"/>
          <w:szCs w:val="24"/>
        </w:rPr>
      </w:pPr>
    </w:p>
    <w:p>
      <w:pPr>
        <w:widowControl/>
        <w:spacing w:line="480" w:lineRule="atLeast"/>
        <w:rPr>
          <w:rFonts w:hint="eastAsia" w:ascii="宋体" w:hAnsi="宋体" w:eastAsiaTheme="minorEastAsia"/>
          <w:b/>
          <w:sz w:val="24"/>
          <w:szCs w:val="24"/>
          <w:lang w:val="en-US" w:eastAsia="zh-CN"/>
        </w:rPr>
      </w:pPr>
      <w:r>
        <w:rPr>
          <w:rFonts w:hint="eastAsia" w:ascii="宋体" w:hAnsi="宋体"/>
          <w:b/>
          <w:sz w:val="24"/>
          <w:szCs w:val="24"/>
          <w:lang w:val="en-US" w:eastAsia="zh-CN"/>
        </w:rPr>
        <w:t>注释：本表适用于</w:t>
      </w:r>
      <w:r>
        <w:rPr>
          <w:rFonts w:hint="eastAsia" w:asciiTheme="minorEastAsia" w:hAnsiTheme="minorEastAsia" w:eastAsiaTheme="minorEastAsia" w:cstheme="minorEastAsia"/>
          <w:b/>
          <w:bCs/>
          <w:kern w:val="0"/>
          <w:sz w:val="22"/>
          <w:szCs w:val="22"/>
        </w:rPr>
        <w:t>在评分相同的情况下，抽签决定银行选择的顺序</w:t>
      </w:r>
      <w:r>
        <w:rPr>
          <w:rFonts w:hint="eastAsia" w:asciiTheme="minorEastAsia" w:hAnsiTheme="minorEastAsia" w:cstheme="minorEastAsia"/>
          <w:b/>
          <w:bCs/>
          <w:kern w:val="0"/>
          <w:sz w:val="22"/>
          <w:szCs w:val="22"/>
          <w:lang w:eastAsia="zh-CN"/>
        </w:rPr>
        <w:t>。</w:t>
      </w: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评委（签名）：</w:t>
      </w: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 xml:space="preserve">监督（签名）： </w:t>
      </w:r>
      <w:r>
        <w:rPr>
          <w:rFonts w:ascii="宋体" w:hAnsi="宋体"/>
          <w:b/>
          <w:sz w:val="24"/>
          <w:szCs w:val="24"/>
        </w:rPr>
        <w:t xml:space="preserve">                                   </w:t>
      </w:r>
    </w:p>
    <w:p>
      <w:pPr>
        <w:widowControl/>
        <w:spacing w:line="480" w:lineRule="atLeast"/>
        <w:rPr>
          <w:rFonts w:hint="eastAsia" w:ascii="宋体" w:hAnsi="宋体"/>
          <w:b/>
          <w:sz w:val="24"/>
          <w:szCs w:val="24"/>
        </w:rPr>
      </w:pPr>
    </w:p>
    <w:p>
      <w:pPr>
        <w:widowControl/>
        <w:spacing w:line="480" w:lineRule="atLeas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 xml:space="preserve">     年    月    日</w:t>
      </w:r>
    </w:p>
    <w:p>
      <w:pPr>
        <w:tabs>
          <w:tab w:val="left" w:pos="1215"/>
        </w:tabs>
        <w:spacing w:line="480" w:lineRule="atLeast"/>
        <w:rPr>
          <w:rFonts w:ascii="宋体" w:hAnsi="宋体"/>
          <w:sz w:val="24"/>
        </w:rPr>
        <w:sectPr>
          <w:pgSz w:w="11907" w:h="16840"/>
          <w:pgMar w:top="1440" w:right="1134" w:bottom="1440" w:left="1440" w:header="720" w:footer="890" w:gutter="0"/>
          <w:cols w:space="720" w:num="1"/>
          <w:docGrid w:linePitch="312" w:charSpace="0"/>
        </w:sectPr>
      </w:pPr>
    </w:p>
    <w:tbl>
      <w:tblPr>
        <w:tblStyle w:val="10"/>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7 </w:t>
            </w:r>
            <w:r>
              <w:rPr>
                <w:rFonts w:hint="eastAsia" w:ascii="宋体" w:hAnsi="宋体" w:cstheme="minorBidi"/>
                <w:b/>
                <w:bCs w:val="0"/>
                <w:kern w:val="2"/>
                <w:sz w:val="24"/>
                <w:szCs w:val="24"/>
              </w:rPr>
              <w:t>专项债专户</w:t>
            </w:r>
            <w:r>
              <w:rPr>
                <w:rFonts w:hint="eastAsia" w:ascii="宋体" w:hAnsi="宋体"/>
                <w:b/>
                <w:sz w:val="24"/>
              </w:rPr>
              <w:t>得分排序表</w:t>
            </w:r>
          </w:p>
          <w:p>
            <w:pPr>
              <w:widowControl/>
              <w:spacing w:line="480" w:lineRule="atLeast"/>
              <w:jc w:val="center"/>
              <w:rPr>
                <w:rFonts w:ascii="宋体" w:hAnsi="宋体" w:cs="宋体"/>
                <w:b/>
                <w:bCs/>
                <w:kern w:val="0"/>
                <w:sz w:val="32"/>
                <w:szCs w:val="32"/>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rPr>
              <w:t>专项债专户参选人得分排序表</w:t>
            </w:r>
          </w:p>
          <w:p>
            <w:pPr>
              <w:widowControl/>
              <w:spacing w:line="480" w:lineRule="atLeast"/>
              <w:jc w:val="right"/>
              <w:rPr>
                <w:rFonts w:ascii="宋体" w:hAnsi="宋体" w:cs="Arial"/>
                <w:b/>
                <w:bCs/>
                <w:kern w:val="0"/>
                <w:sz w:val="36"/>
                <w:szCs w:val="36"/>
              </w:rPr>
            </w:pPr>
            <w:r>
              <w:rPr>
                <w:rFonts w:hint="eastAsia" w:ascii="宋体" w:hAnsi="宋体" w:cs="宋体"/>
                <w:kern w:val="0"/>
                <w:sz w:val="24"/>
                <w:szCs w:val="24"/>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90"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10</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2946" w:hRule="atLeast"/>
        </w:trPr>
        <w:tc>
          <w:tcPr>
            <w:tcW w:w="9169" w:type="dxa"/>
            <w:gridSpan w:val="5"/>
            <w:tcBorders>
              <w:top w:val="single" w:color="auto" w:sz="6" w:space="0"/>
              <w:left w:val="single" w:color="auto" w:sz="8" w:space="0"/>
              <w:bottom w:val="single" w:color="auto" w:sz="8" w:space="0"/>
              <w:right w:val="single" w:color="auto" w:sz="8" w:space="0"/>
            </w:tcBorders>
          </w:tcPr>
          <w:p>
            <w:pPr>
              <w:widowControl/>
              <w:spacing w:line="480" w:lineRule="atLeast"/>
              <w:ind w:left="262"/>
              <w:rPr>
                <w:rFonts w:ascii="宋体" w:hAnsi="宋体" w:cs="Arial"/>
                <w:kern w:val="0"/>
              </w:rPr>
            </w:pPr>
          </w:p>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监督（签名）：</w:t>
            </w:r>
          </w:p>
          <w:p>
            <w:pPr>
              <w:widowControl/>
              <w:spacing w:line="480" w:lineRule="atLeast"/>
              <w:ind w:left="262"/>
              <w:rPr>
                <w:rFonts w:ascii="宋体" w:hAnsi="宋体" w:cs="Arial"/>
                <w:kern w:val="0"/>
                <w:szCs w:val="24"/>
              </w:rPr>
            </w:pPr>
          </w:p>
        </w:tc>
      </w:tr>
    </w:tbl>
    <w:p>
      <w:pPr>
        <w:rPr>
          <w:rFonts w:ascii="宋体" w:hAnsi="宋体"/>
          <w:snapToGrid w:val="0"/>
          <w:szCs w:val="21"/>
        </w:rPr>
        <w:sectPr>
          <w:pgSz w:w="11906" w:h="16838"/>
          <w:pgMar w:top="720" w:right="720" w:bottom="720" w:left="720" w:header="851" w:footer="992" w:gutter="0"/>
          <w:cols w:space="425" w:num="1"/>
          <w:docGrid w:type="lines" w:linePitch="312" w:charSpace="0"/>
        </w:sectPr>
      </w:pPr>
      <w:r>
        <w:rPr>
          <w:rFonts w:hint="eastAsia" w:ascii="宋体" w:hAnsi="宋体" w:eastAsia="宋体"/>
          <w:bCs/>
          <w:snapToGrid w:val="0"/>
          <w:sz w:val="22"/>
          <w:szCs w:val="22"/>
        </w:rPr>
        <w:t xml:space="preserve">                                                                                                </w:t>
      </w:r>
      <w:r>
        <w:rPr>
          <w:rFonts w:hint="eastAsia" w:ascii="宋体" w:hAnsi="宋体" w:eastAsia="宋体"/>
          <w:snapToGrid w:val="0"/>
          <w:sz w:val="22"/>
          <w:szCs w:val="22"/>
        </w:rPr>
        <w:t>日期：     年    月    日</w:t>
      </w:r>
    </w:p>
    <w:tbl>
      <w:tblPr>
        <w:tblStyle w:val="10"/>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8 </w:t>
            </w:r>
            <w:r>
              <w:rPr>
                <w:rFonts w:hint="eastAsia" w:ascii="宋体" w:hAnsi="宋体" w:cstheme="minorBidi"/>
                <w:b/>
                <w:bCs w:val="0"/>
                <w:kern w:val="2"/>
                <w:sz w:val="24"/>
                <w:szCs w:val="24"/>
                <w:lang w:val="en-US" w:eastAsia="zh-CN"/>
              </w:rPr>
              <w:t>住房公积金账户参选人</w:t>
            </w:r>
            <w:r>
              <w:rPr>
                <w:rFonts w:hint="eastAsia" w:ascii="宋体" w:hAnsi="宋体"/>
                <w:b/>
                <w:sz w:val="24"/>
              </w:rPr>
              <w:t>得分排序表</w:t>
            </w:r>
          </w:p>
          <w:p>
            <w:pPr>
              <w:widowControl/>
              <w:spacing w:line="480" w:lineRule="atLeast"/>
              <w:jc w:val="center"/>
              <w:rPr>
                <w:rFonts w:ascii="宋体" w:hAnsi="宋体" w:cs="宋体"/>
                <w:b/>
                <w:bCs/>
                <w:kern w:val="0"/>
                <w:sz w:val="32"/>
                <w:szCs w:val="32"/>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lang w:val="en-US" w:eastAsia="zh-CN"/>
              </w:rPr>
              <w:t>住房公积金账户</w:t>
            </w:r>
            <w:r>
              <w:rPr>
                <w:rFonts w:hint="eastAsia" w:ascii="宋体" w:hAnsi="宋体" w:cs="宋体"/>
                <w:b/>
                <w:bCs/>
                <w:kern w:val="0"/>
                <w:sz w:val="32"/>
                <w:szCs w:val="32"/>
              </w:rPr>
              <w:t>参选人得分排序表</w:t>
            </w:r>
          </w:p>
          <w:p>
            <w:pPr>
              <w:widowControl/>
              <w:spacing w:line="480" w:lineRule="atLeast"/>
              <w:jc w:val="right"/>
              <w:rPr>
                <w:rFonts w:ascii="宋体" w:hAnsi="宋体" w:cs="Arial"/>
                <w:b/>
                <w:bCs/>
                <w:kern w:val="0"/>
                <w:sz w:val="36"/>
                <w:szCs w:val="36"/>
              </w:rPr>
            </w:pPr>
            <w:r>
              <w:rPr>
                <w:rFonts w:hint="eastAsia" w:ascii="宋体" w:hAnsi="宋体" w:cs="宋体"/>
                <w:kern w:val="0"/>
                <w:sz w:val="24"/>
                <w:szCs w:val="24"/>
              </w:rPr>
              <w:t>评审日期：       年     月    日</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参选人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rPr>
            </w:pPr>
            <w:r>
              <w:rPr>
                <w:rFonts w:ascii="宋体" w:hAnsi="宋体"/>
                <w:b/>
                <w:bCs/>
                <w:kern w:val="0"/>
                <w:sz w:val="22"/>
                <w:szCs w:val="22"/>
              </w:rPr>
              <w:t>去掉已经选择的专项债账户银行后，</w:t>
            </w:r>
            <w:r>
              <w:rPr>
                <w:rFonts w:hint="eastAsia" w:ascii="宋体" w:hAnsi="宋体"/>
                <w:b/>
                <w:bCs/>
                <w:kern w:val="0"/>
                <w:sz w:val="22"/>
                <w:szCs w:val="22"/>
                <w:lang w:val="en-US" w:eastAsia="zh-CN"/>
              </w:rPr>
              <w:t>对</w:t>
            </w:r>
            <w:r>
              <w:rPr>
                <w:rFonts w:ascii="宋体" w:hAnsi="宋体"/>
                <w:b/>
                <w:bCs/>
                <w:kern w:val="0"/>
                <w:sz w:val="22"/>
                <w:szCs w:val="22"/>
              </w:rPr>
              <w:t>可办理住房公积金缴存业务的银行</w:t>
            </w:r>
            <w:r>
              <w:rPr>
                <w:rFonts w:hint="eastAsia" w:ascii="宋体" w:hAnsi="宋体"/>
                <w:b/>
                <w:bCs/>
                <w:kern w:val="0"/>
                <w:sz w:val="22"/>
                <w:szCs w:val="22"/>
                <w:lang w:val="en-US" w:eastAsia="zh-CN"/>
              </w:rPr>
              <w:t>进行排序</w:t>
            </w:r>
            <w:r>
              <w:rPr>
                <w:rFonts w:ascii="宋体" w:hAnsi="宋体"/>
                <w:b/>
                <w:bCs/>
                <w:kern w:val="0"/>
                <w:sz w:val="22"/>
                <w:szCs w:val="22"/>
              </w:rPr>
              <w:t>。</w:t>
            </w: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2946" w:hRule="atLeast"/>
        </w:trPr>
        <w:tc>
          <w:tcPr>
            <w:tcW w:w="9169" w:type="dxa"/>
            <w:gridSpan w:val="5"/>
            <w:tcBorders>
              <w:top w:val="single" w:color="auto" w:sz="6" w:space="0"/>
              <w:left w:val="single" w:color="auto" w:sz="8" w:space="0"/>
              <w:bottom w:val="single" w:color="auto" w:sz="8" w:space="0"/>
              <w:right w:val="single" w:color="auto" w:sz="8" w:space="0"/>
            </w:tcBorders>
          </w:tcPr>
          <w:p>
            <w:pPr>
              <w:widowControl/>
              <w:spacing w:line="480" w:lineRule="atLeast"/>
              <w:ind w:left="262"/>
              <w:rPr>
                <w:rFonts w:ascii="宋体" w:hAnsi="宋体" w:cs="Arial"/>
                <w:kern w:val="0"/>
              </w:rPr>
            </w:pPr>
          </w:p>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监督（签名）：</w:t>
            </w:r>
          </w:p>
          <w:p>
            <w:pPr>
              <w:widowControl/>
              <w:spacing w:line="480" w:lineRule="atLeast"/>
              <w:ind w:left="262"/>
              <w:rPr>
                <w:rFonts w:ascii="宋体" w:hAnsi="宋体" w:cs="Arial"/>
                <w:kern w:val="0"/>
                <w:szCs w:val="24"/>
              </w:rPr>
            </w:pPr>
          </w:p>
        </w:tc>
      </w:tr>
    </w:tbl>
    <w:p>
      <w:pPr>
        <w:rPr>
          <w:rFonts w:hint="eastAsia" w:ascii="宋体" w:hAnsi="宋体" w:eastAsia="宋体"/>
          <w:snapToGrid w:val="0"/>
          <w:sz w:val="22"/>
          <w:szCs w:val="22"/>
        </w:rPr>
        <w:sectPr>
          <w:pgSz w:w="11906" w:h="16838"/>
          <w:pgMar w:top="720" w:right="720" w:bottom="720" w:left="720" w:header="851" w:footer="992" w:gutter="0"/>
          <w:cols w:space="425" w:num="1"/>
          <w:docGrid w:type="lines" w:linePitch="312" w:charSpace="0"/>
        </w:sectPr>
      </w:pPr>
      <w:r>
        <w:rPr>
          <w:rFonts w:hint="eastAsia" w:ascii="宋体" w:hAnsi="宋体" w:eastAsia="宋体"/>
          <w:snapToGrid w:val="0"/>
          <w:sz w:val="22"/>
          <w:szCs w:val="22"/>
        </w:rPr>
        <w:t>日期：     年    月    日</w:t>
      </w:r>
    </w:p>
    <w:p>
      <w:pPr>
        <w:widowControl/>
        <w:tabs>
          <w:tab w:val="left" w:pos="1215"/>
        </w:tabs>
        <w:spacing w:line="480" w:lineRule="atLeast"/>
        <w:jc w:val="left"/>
        <w:rPr>
          <w:rFonts w:ascii="宋体" w:hAnsi="宋体" w:cs="宋体"/>
          <w:b/>
          <w:bCs/>
          <w:kern w:val="0"/>
          <w:sz w:val="32"/>
          <w:szCs w:val="32"/>
        </w:rPr>
      </w:pPr>
      <w:r>
        <w:rPr>
          <w:rFonts w:hint="eastAsia" w:ascii="宋体" w:hAnsi="宋体"/>
          <w:b/>
          <w:sz w:val="24"/>
        </w:rPr>
        <w:t>附表</w:t>
      </w:r>
      <w:r>
        <w:rPr>
          <w:rFonts w:hint="eastAsia" w:ascii="宋体" w:hAnsi="宋体"/>
          <w:b/>
          <w:sz w:val="24"/>
          <w:lang w:val="en-US" w:eastAsia="zh-CN"/>
        </w:rPr>
        <w:t xml:space="preserve">9 </w:t>
      </w:r>
      <w:r>
        <w:rPr>
          <w:rFonts w:hint="eastAsia" w:ascii="宋体" w:hAnsi="宋体" w:cstheme="minorBidi"/>
          <w:b/>
          <w:bCs w:val="0"/>
          <w:kern w:val="2"/>
          <w:sz w:val="24"/>
          <w:szCs w:val="24"/>
          <w:lang w:val="en-US" w:eastAsia="zh-CN"/>
        </w:rPr>
        <w:t>中选备选情况</w:t>
      </w:r>
      <w:r>
        <w:rPr>
          <w:rFonts w:hint="eastAsia" w:ascii="宋体" w:hAnsi="宋体"/>
          <w:b/>
          <w:sz w:val="24"/>
        </w:rPr>
        <w:t>表</w:t>
      </w:r>
    </w:p>
    <w:p>
      <w:pPr>
        <w:widowControl/>
        <w:spacing w:line="480" w:lineRule="atLeast"/>
        <w:jc w:val="center"/>
        <w:rPr>
          <w:rFonts w:hint="eastAsia" w:ascii="宋体" w:hAnsi="宋体" w:cs="宋体"/>
          <w:b/>
          <w:bCs/>
          <w:kern w:val="0"/>
          <w:sz w:val="32"/>
          <w:szCs w:val="32"/>
          <w:lang w:val="en-US" w:eastAsia="zh-CN"/>
        </w:rPr>
      </w:pP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lang w:val="en-US" w:eastAsia="zh-CN"/>
        </w:rPr>
        <w:t>中选备选情况</w:t>
      </w:r>
      <w:r>
        <w:rPr>
          <w:rFonts w:hint="eastAsia" w:ascii="宋体" w:hAnsi="宋体" w:cs="宋体"/>
          <w:b/>
          <w:bCs/>
          <w:kern w:val="0"/>
          <w:sz w:val="32"/>
          <w:szCs w:val="32"/>
        </w:rPr>
        <w:t>表</w:t>
      </w:r>
    </w:p>
    <w:p>
      <w:pPr>
        <w:widowControl/>
        <w:spacing w:line="480" w:lineRule="atLeast"/>
        <w:jc w:val="center"/>
        <w:rPr>
          <w:rFonts w:ascii="宋体" w:hAnsi="宋体" w:cs="宋体"/>
          <w:b/>
          <w:bCs/>
          <w:kern w:val="0"/>
          <w:sz w:val="32"/>
          <w:szCs w:val="32"/>
        </w:rPr>
      </w:pPr>
    </w:p>
    <w:p>
      <w:pPr>
        <w:spacing w:after="120" w:afterLines="50" w:line="480" w:lineRule="atLeast"/>
        <w:ind w:right="390"/>
        <w:rPr>
          <w:rFonts w:ascii="宋体" w:hAnsi="宋体" w:cs="宋体"/>
          <w:b/>
          <w:kern w:val="0"/>
          <w:sz w:val="28"/>
          <w:szCs w:val="28"/>
        </w:rPr>
      </w:pPr>
      <w:r>
        <w:rPr>
          <w:rFonts w:hint="eastAsia" w:ascii="宋体" w:hAnsi="宋体" w:cs="宋体"/>
          <w:b/>
          <w:kern w:val="0"/>
          <w:sz w:val="24"/>
          <w:szCs w:val="28"/>
        </w:rPr>
        <w:t>比选项目名称：</w:t>
      </w:r>
      <w:r>
        <w:rPr>
          <w:rFonts w:hint="eastAsia" w:ascii="宋体" w:hAnsi="宋体" w:eastAsia="宋体"/>
          <w:b/>
          <w:bCs/>
          <w:snapToGrid w:val="0"/>
          <w:sz w:val="22"/>
          <w:szCs w:val="22"/>
        </w:rPr>
        <w:t>深圳铁路投资建设集团有限公司住房公积金账户和2020年政府专项债专户合作银行比选项目</w:t>
      </w:r>
    </w:p>
    <w:tbl>
      <w:tblPr>
        <w:tblStyle w:val="10"/>
        <w:tblW w:w="7876" w:type="dxa"/>
        <w:tblInd w:w="103" w:type="dxa"/>
        <w:tblLayout w:type="fixed"/>
        <w:tblCellMar>
          <w:top w:w="0" w:type="dxa"/>
          <w:left w:w="0" w:type="dxa"/>
          <w:bottom w:w="0" w:type="dxa"/>
          <w:right w:w="0" w:type="dxa"/>
        </w:tblCellMar>
      </w:tblPr>
      <w:tblGrid>
        <w:gridCol w:w="1516"/>
        <w:gridCol w:w="2205"/>
        <w:gridCol w:w="4155"/>
      </w:tblGrid>
      <w:tr>
        <w:tblPrEx>
          <w:tblCellMar>
            <w:top w:w="0" w:type="dxa"/>
            <w:left w:w="0" w:type="dxa"/>
            <w:bottom w:w="0" w:type="dxa"/>
            <w:right w:w="0" w:type="dxa"/>
          </w:tblCellMar>
        </w:tblPrEx>
        <w:trPr>
          <w:trHeight w:val="131" w:hRule="atLeast"/>
        </w:trPr>
        <w:tc>
          <w:tcPr>
            <w:tcW w:w="1516"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lang w:val="en-US" w:eastAsia="zh-CN"/>
              </w:rPr>
              <w:t>中选/备选</w:t>
            </w: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b/>
                <w:bCs/>
                <w:lang w:val="en-US" w:eastAsia="zh-CN"/>
              </w:rPr>
            </w:pPr>
            <w:r>
              <w:rPr>
                <w:rFonts w:hint="eastAsia" w:ascii="宋体" w:hAnsi="宋体"/>
                <w:b/>
                <w:bCs/>
                <w:sz w:val="24"/>
                <w:lang w:val="en-US" w:eastAsia="zh-CN"/>
              </w:rPr>
              <w:t>中选/备选</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hint="default" w:ascii="宋体" w:hAnsi="宋体"/>
                <w:b/>
                <w:bCs/>
                <w:lang w:val="en-US"/>
              </w:rPr>
            </w:pPr>
            <w:r>
              <w:rPr>
                <w:rFonts w:hint="eastAsia" w:ascii="宋体" w:hAnsi="宋体"/>
                <w:b/>
                <w:bCs/>
                <w:sz w:val="24"/>
                <w:lang w:val="en-US" w:eastAsia="zh-CN"/>
              </w:rPr>
              <w:t>银行名称</w:t>
            </w:r>
          </w:p>
        </w:tc>
      </w:tr>
      <w:tr>
        <w:tblPrEx>
          <w:tblCellMar>
            <w:top w:w="0" w:type="dxa"/>
            <w:left w:w="0" w:type="dxa"/>
            <w:bottom w:w="0" w:type="dxa"/>
            <w:right w:w="0" w:type="dxa"/>
          </w:tblCellMar>
        </w:tblPrEx>
        <w:trPr>
          <w:trHeight w:val="578" w:hRule="atLeast"/>
        </w:trPr>
        <w:tc>
          <w:tcPr>
            <w:tcW w:w="1516" w:type="dxa"/>
            <w:vMerge w:val="restart"/>
            <w:tcBorders>
              <w:top w:val="single" w:color="auto" w:sz="4" w:space="0"/>
              <w:left w:val="single" w:color="auto" w:sz="4" w:space="0"/>
              <w:right w:val="single" w:color="auto" w:sz="4" w:space="0"/>
            </w:tcBorders>
            <w:vAlign w:val="center"/>
          </w:tcPr>
          <w:p>
            <w:pPr>
              <w:spacing w:line="480" w:lineRule="atLeast"/>
              <w:jc w:val="center"/>
              <w:rPr>
                <w:rFonts w:hint="eastAsia" w:ascii="宋体" w:hAnsi="宋体"/>
                <w:lang w:val="en-US" w:eastAsia="zh-CN"/>
              </w:rPr>
            </w:pPr>
            <w:r>
              <w:rPr>
                <w:rFonts w:hint="eastAsia" w:ascii="宋体" w:hAnsi="宋体"/>
                <w:lang w:val="en-US" w:eastAsia="zh-CN"/>
              </w:rPr>
              <w:t>中选银行</w:t>
            </w:r>
          </w:p>
          <w:p>
            <w:pPr>
              <w:spacing w:line="480" w:lineRule="atLeast"/>
              <w:jc w:val="center"/>
              <w:rPr>
                <w:rFonts w:ascii="宋体" w:hAnsi="宋体"/>
                <w:sz w:val="24"/>
              </w:rPr>
            </w:pP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lang w:val="en-US" w:eastAsia="zh-CN"/>
              </w:rPr>
            </w:pPr>
            <w:r>
              <w:rPr>
                <w:rFonts w:hint="eastAsia" w:ascii="宋体" w:hAnsi="宋体"/>
                <w:lang w:val="en-US" w:eastAsia="zh-CN"/>
              </w:rPr>
              <w:t>专项债账户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558" w:hRule="atLeast"/>
        </w:trPr>
        <w:tc>
          <w:tcPr>
            <w:tcW w:w="1516" w:type="dxa"/>
            <w:vMerge w:val="continue"/>
            <w:tcBorders>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lang w:val="en-US" w:eastAsia="zh-CN"/>
              </w:rPr>
            </w:pPr>
            <w:r>
              <w:rPr>
                <w:rFonts w:hint="eastAsia" w:ascii="宋体" w:hAnsi="宋体"/>
                <w:lang w:val="en-US" w:eastAsia="zh-CN"/>
              </w:rPr>
              <w:t>住房公积金账户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558" w:hRule="atLeast"/>
        </w:trPr>
        <w:tc>
          <w:tcPr>
            <w:tcW w:w="1516" w:type="dxa"/>
            <w:vMerge w:val="restart"/>
            <w:tcBorders>
              <w:top w:val="single" w:color="auto" w:sz="4" w:space="0"/>
              <w:left w:val="single" w:color="auto" w:sz="4" w:space="0"/>
              <w:right w:val="single" w:color="auto" w:sz="4" w:space="0"/>
            </w:tcBorders>
            <w:vAlign w:val="center"/>
          </w:tcPr>
          <w:p>
            <w:pPr>
              <w:spacing w:line="480" w:lineRule="atLeast"/>
              <w:jc w:val="center"/>
              <w:rPr>
                <w:rFonts w:hint="default" w:ascii="宋体" w:hAnsi="宋体" w:eastAsiaTheme="minorEastAsia"/>
                <w:sz w:val="24"/>
                <w:lang w:val="en-US" w:eastAsia="zh-CN"/>
              </w:rPr>
            </w:pPr>
            <w:r>
              <w:rPr>
                <w:rFonts w:hint="eastAsia" w:ascii="宋体" w:hAnsi="宋体"/>
                <w:sz w:val="24"/>
                <w:lang w:val="en-US" w:eastAsia="zh-CN"/>
              </w:rPr>
              <w:t>备选银行</w:t>
            </w: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专项债账户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hint="eastAsia" w:ascii="宋体" w:hAnsi="宋体" w:eastAsia="宋体"/>
                <w:b/>
                <w:bCs/>
                <w:snapToGrid w:val="0"/>
                <w:sz w:val="22"/>
                <w:szCs w:val="22"/>
              </w:rPr>
            </w:pPr>
          </w:p>
        </w:tc>
      </w:tr>
      <w:tr>
        <w:tblPrEx>
          <w:tblCellMar>
            <w:top w:w="0" w:type="dxa"/>
            <w:left w:w="0" w:type="dxa"/>
            <w:bottom w:w="0" w:type="dxa"/>
            <w:right w:w="0" w:type="dxa"/>
          </w:tblCellMar>
        </w:tblPrEx>
        <w:trPr>
          <w:trHeight w:val="558" w:hRule="atLeast"/>
        </w:trPr>
        <w:tc>
          <w:tcPr>
            <w:tcW w:w="1516" w:type="dxa"/>
            <w:vMerge w:val="continue"/>
            <w:tcBorders>
              <w:left w:val="single" w:color="auto" w:sz="4" w:space="0"/>
              <w:bottom w:val="single" w:color="auto" w:sz="4" w:space="0"/>
              <w:right w:val="single" w:color="auto" w:sz="4" w:space="0"/>
            </w:tcBorders>
            <w:vAlign w:val="center"/>
          </w:tcPr>
          <w:p>
            <w:pPr>
              <w:spacing w:line="480" w:lineRule="atLeast"/>
              <w:jc w:val="center"/>
              <w:rPr>
                <w:rFonts w:hint="eastAsia" w:ascii="宋体" w:hAnsi="宋体"/>
                <w:sz w:val="24"/>
                <w:lang w:val="en-US" w:eastAsia="zh-CN"/>
              </w:rPr>
            </w:pPr>
          </w:p>
        </w:tc>
        <w:tc>
          <w:tcPr>
            <w:tcW w:w="2205" w:type="dxa"/>
            <w:tcBorders>
              <w:top w:val="single" w:color="auto" w:sz="4" w:space="0"/>
              <w:left w:val="nil"/>
              <w:bottom w:val="single" w:color="auto" w:sz="4" w:space="0"/>
              <w:right w:val="single" w:color="auto" w:sz="4" w:space="0"/>
            </w:tcBorders>
            <w:vAlign w:val="center"/>
          </w:tcPr>
          <w:p>
            <w:pPr>
              <w:spacing w:line="480" w:lineRule="atLeast"/>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住房公积金账户</w:t>
            </w:r>
          </w:p>
        </w:tc>
        <w:tc>
          <w:tcPr>
            <w:tcW w:w="4155"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hint="eastAsia" w:ascii="宋体" w:hAnsi="宋体" w:eastAsia="宋体"/>
                <w:b/>
                <w:bCs/>
                <w:snapToGrid w:val="0"/>
                <w:sz w:val="22"/>
                <w:szCs w:val="22"/>
              </w:rPr>
            </w:pPr>
          </w:p>
        </w:tc>
      </w:tr>
    </w:tbl>
    <w:p>
      <w:pPr>
        <w:widowControl/>
        <w:spacing w:line="480" w:lineRule="atLeast"/>
        <w:rPr>
          <w:rFonts w:hint="eastAsia" w:ascii="宋体" w:hAnsi="宋体"/>
          <w:b/>
          <w:sz w:val="24"/>
          <w:szCs w:val="24"/>
        </w:rPr>
      </w:pP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评委（签名）：</w:t>
      </w:r>
    </w:p>
    <w:p>
      <w:pPr>
        <w:widowControl/>
        <w:spacing w:line="480" w:lineRule="atLeast"/>
        <w:rPr>
          <w:rFonts w:hint="eastAsia" w:ascii="宋体" w:hAnsi="宋体"/>
          <w:b/>
          <w:sz w:val="24"/>
          <w:szCs w:val="24"/>
        </w:rPr>
      </w:pPr>
    </w:p>
    <w:p>
      <w:pPr>
        <w:widowControl/>
        <w:spacing w:line="480" w:lineRule="atLeast"/>
        <w:rPr>
          <w:rFonts w:ascii="宋体" w:hAnsi="宋体"/>
          <w:b/>
          <w:sz w:val="24"/>
          <w:szCs w:val="24"/>
        </w:rPr>
      </w:pPr>
      <w:r>
        <w:rPr>
          <w:rFonts w:hint="eastAsia" w:ascii="宋体" w:hAnsi="宋体"/>
          <w:b/>
          <w:sz w:val="24"/>
          <w:szCs w:val="24"/>
        </w:rPr>
        <w:t xml:space="preserve">监督（签名）： </w:t>
      </w:r>
      <w:r>
        <w:rPr>
          <w:rFonts w:ascii="宋体" w:hAnsi="宋体"/>
          <w:b/>
          <w:sz w:val="24"/>
          <w:szCs w:val="24"/>
        </w:rPr>
        <w:t xml:space="preserve">                                   </w:t>
      </w:r>
    </w:p>
    <w:p>
      <w:pPr>
        <w:widowControl/>
        <w:spacing w:line="480" w:lineRule="atLeast"/>
        <w:rPr>
          <w:rFonts w:hint="eastAsia" w:ascii="宋体" w:hAnsi="宋体"/>
          <w:b/>
          <w:sz w:val="24"/>
          <w:szCs w:val="24"/>
        </w:rPr>
      </w:pPr>
    </w:p>
    <w:p>
      <w:pPr>
        <w:widowControl/>
        <w:spacing w:line="480" w:lineRule="atLeas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 xml:space="preserve">     年    月    日</w:t>
      </w:r>
    </w:p>
    <w:p>
      <w:pPr>
        <w:tabs>
          <w:tab w:val="left" w:pos="1215"/>
        </w:tabs>
        <w:spacing w:line="480" w:lineRule="atLeast"/>
        <w:rPr>
          <w:rFonts w:ascii="宋体" w:hAnsi="宋体"/>
          <w:sz w:val="24"/>
        </w:rPr>
        <w:sectPr>
          <w:pgSz w:w="11907" w:h="16840"/>
          <w:pgMar w:top="1440" w:right="1134" w:bottom="1440" w:left="1440" w:header="720" w:footer="890" w:gutter="0"/>
          <w:cols w:space="720" w:num="1"/>
          <w:docGrid w:linePitch="312" w:charSpace="0"/>
        </w:sectPr>
      </w:pPr>
    </w:p>
    <w:p/>
    <w:p>
      <w:pPr>
        <w:numPr>
          <w:ilvl w:val="0"/>
          <w:numId w:val="1"/>
        </w:numPr>
        <w:spacing w:line="240" w:lineRule="auto"/>
        <w:jc w:val="center"/>
        <w:outlineLvl w:val="0"/>
        <w:rPr>
          <w:rFonts w:hint="eastAsia" w:asciiTheme="majorEastAsia" w:hAnsiTheme="majorEastAsia" w:eastAsiaTheme="majorEastAsia" w:cstheme="majorEastAsia"/>
          <w:b/>
          <w:bCs/>
          <w:spacing w:val="36"/>
          <w:kern w:val="10"/>
          <w:sz w:val="44"/>
          <w:szCs w:val="44"/>
          <w:lang w:val="en-US" w:eastAsia="zh-CN"/>
        </w:rPr>
      </w:pPr>
      <w:bookmarkStart w:id="254" w:name="_Toc16955"/>
      <w:bookmarkStart w:id="255" w:name="_Toc27464"/>
      <w:bookmarkStart w:id="256" w:name="_Toc8729"/>
      <w:r>
        <w:rPr>
          <w:rFonts w:hint="eastAsia" w:asciiTheme="majorEastAsia" w:hAnsiTheme="majorEastAsia" w:eastAsiaTheme="majorEastAsia" w:cstheme="majorEastAsia"/>
          <w:b/>
          <w:bCs/>
          <w:spacing w:val="36"/>
          <w:kern w:val="10"/>
          <w:sz w:val="44"/>
          <w:szCs w:val="44"/>
          <w:lang w:val="en-US" w:eastAsia="zh-CN"/>
        </w:rPr>
        <w:t>参选文件格式</w:t>
      </w:r>
      <w:bookmarkEnd w:id="254"/>
      <w:bookmarkEnd w:id="255"/>
      <w:bookmarkEnd w:id="256"/>
    </w:p>
    <w:p>
      <w:pPr>
        <w:numPr>
          <w:ilvl w:val="0"/>
          <w:numId w:val="0"/>
        </w:numPr>
        <w:spacing w:line="840" w:lineRule="exact"/>
        <w:jc w:val="center"/>
        <w:rPr>
          <w:rFonts w:hint="eastAsia" w:ascii="宋体" w:hAnsi="宋体"/>
          <w:spacing w:val="36"/>
          <w:sz w:val="44"/>
          <w:szCs w:val="44"/>
          <w:lang w:val="en-US" w:eastAsia="zh-CN"/>
        </w:rPr>
      </w:pPr>
    </w:p>
    <w:p>
      <w:pPr>
        <w:spacing w:before="60" w:beforeLines="25" w:after="60" w:afterLines="25" w:line="480" w:lineRule="atLeast"/>
        <w:ind w:firstLine="547" w:firstLineChars="228"/>
        <w:rPr>
          <w:rFonts w:ascii="宋体" w:hAnsi="宋体"/>
          <w:sz w:val="24"/>
        </w:rPr>
      </w:pPr>
      <w:r>
        <w:rPr>
          <w:rFonts w:hint="eastAsia" w:ascii="宋体" w:hAnsi="宋体"/>
          <w:sz w:val="24"/>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480" w:lineRule="atLeast"/>
        <w:jc w:val="center"/>
        <w:rPr>
          <w:rFonts w:ascii="宋体" w:hAnsi="宋体"/>
        </w:rPr>
      </w:pPr>
    </w:p>
    <w:p>
      <w:pPr>
        <w:spacing w:line="480" w:lineRule="atLeast"/>
        <w:jc w:val="center"/>
        <w:rPr>
          <w:rFonts w:ascii="宋体" w:hAnsi="宋体"/>
        </w:rPr>
      </w:pPr>
    </w:p>
    <w:p>
      <w:pPr>
        <w:numPr>
          <w:ilvl w:val="0"/>
          <w:numId w:val="0"/>
        </w:numPr>
        <w:spacing w:line="840" w:lineRule="exact"/>
        <w:jc w:val="center"/>
        <w:rPr>
          <w:rFonts w:hint="eastAsia" w:ascii="宋体" w:hAnsi="宋体"/>
          <w:spacing w:val="36"/>
          <w:sz w:val="44"/>
          <w:szCs w:val="44"/>
          <w:lang w:val="en-US" w:eastAsia="zh-CN"/>
        </w:rPr>
        <w:sectPr>
          <w:pgSz w:w="11907" w:h="16840"/>
          <w:pgMar w:top="1440" w:right="1440" w:bottom="1440" w:left="1440" w:header="720" w:footer="720" w:gutter="0"/>
          <w:cols w:space="720" w:num="1"/>
        </w:sectPr>
      </w:pPr>
    </w:p>
    <w:p>
      <w:pPr>
        <w:spacing w:line="840" w:lineRule="exact"/>
        <w:rPr>
          <w:rFonts w:hint="eastAsia" w:ascii="宋体" w:hAnsi="宋体"/>
          <w:spacing w:val="36"/>
          <w:sz w:val="44"/>
          <w:szCs w:val="44"/>
        </w:rPr>
      </w:pPr>
    </w:p>
    <w:p>
      <w:pPr>
        <w:spacing w:line="840" w:lineRule="exact"/>
        <w:jc w:val="center"/>
        <w:outlineLvl w:val="9"/>
        <w:rPr>
          <w:rFonts w:ascii="宋体" w:hAnsi="宋体"/>
          <w:spacing w:val="36"/>
          <w:sz w:val="44"/>
          <w:szCs w:val="44"/>
        </w:rPr>
      </w:pPr>
      <w:bookmarkStart w:id="257" w:name="_Toc26356"/>
      <w:bookmarkStart w:id="258" w:name="_Toc11879"/>
      <w:bookmarkStart w:id="259" w:name="_Toc13747"/>
      <w:r>
        <w:rPr>
          <w:rFonts w:hint="eastAsia" w:ascii="宋体" w:hAnsi="宋体"/>
          <w:spacing w:val="36"/>
          <w:sz w:val="44"/>
          <w:szCs w:val="44"/>
        </w:rPr>
        <w:t>深圳铁路投资建设集团有限公司</w:t>
      </w:r>
      <w:bookmarkEnd w:id="257"/>
      <w:bookmarkEnd w:id="258"/>
      <w:bookmarkEnd w:id="259"/>
    </w:p>
    <w:p>
      <w:pPr>
        <w:jc w:val="center"/>
        <w:outlineLvl w:val="9"/>
        <w:rPr>
          <w:rFonts w:hint="eastAsia" w:ascii="宋体" w:hAnsi="宋体" w:cs="仿宋_GB2312" w:eastAsiaTheme="minorEastAsia"/>
          <w:sz w:val="44"/>
          <w:szCs w:val="44"/>
          <w:lang w:val="en-US" w:eastAsia="zh-CN"/>
        </w:rPr>
      </w:pPr>
      <w:bookmarkStart w:id="260" w:name="_Toc4829"/>
      <w:bookmarkStart w:id="261" w:name="_Toc2368"/>
      <w:bookmarkStart w:id="262" w:name="_Toc260"/>
      <w:r>
        <w:rPr>
          <w:rFonts w:hint="eastAsia" w:ascii="宋体" w:hAnsi="宋体" w:cs="仿宋_GB2312"/>
          <w:sz w:val="44"/>
          <w:szCs w:val="44"/>
        </w:rPr>
        <w:t>住房公积金账户和2020年政府专项债专户合作银行</w:t>
      </w:r>
      <w:r>
        <w:rPr>
          <w:rFonts w:hint="eastAsia" w:ascii="宋体" w:hAnsi="宋体" w:cs="仿宋_GB2312"/>
          <w:sz w:val="44"/>
          <w:szCs w:val="44"/>
          <w:lang w:val="en-US" w:eastAsia="zh-CN"/>
        </w:rPr>
        <w:t>项目</w:t>
      </w:r>
      <w:bookmarkEnd w:id="260"/>
      <w:bookmarkEnd w:id="261"/>
      <w:bookmarkEnd w:id="262"/>
    </w:p>
    <w:p>
      <w:pPr>
        <w:pStyle w:val="7"/>
        <w:spacing w:before="1440" w:beforeLines="600" w:line="400" w:lineRule="exact"/>
        <w:jc w:val="center"/>
        <w:outlineLvl w:val="9"/>
        <w:rPr>
          <w:rFonts w:hAnsi="宋体"/>
          <w:kern w:val="10"/>
          <w:sz w:val="84"/>
          <w:szCs w:val="84"/>
        </w:rPr>
      </w:pPr>
      <w:bookmarkStart w:id="263" w:name="_Toc7557"/>
      <w:bookmarkStart w:id="264" w:name="_Toc25746"/>
      <w:bookmarkStart w:id="265" w:name="_Toc17587"/>
      <w:r>
        <w:rPr>
          <w:rFonts w:hint="eastAsia" w:hAnsi="宋体"/>
          <w:spacing w:val="36"/>
          <w:kern w:val="10"/>
          <w:sz w:val="84"/>
          <w:szCs w:val="84"/>
        </w:rPr>
        <w:t>参 选 文 件</w:t>
      </w:r>
      <w:bookmarkEnd w:id="263"/>
      <w:bookmarkEnd w:id="264"/>
      <w:bookmarkEnd w:id="265"/>
    </w:p>
    <w:p>
      <w:pPr>
        <w:pStyle w:val="7"/>
        <w:jc w:val="center"/>
        <w:rPr>
          <w:rFonts w:hAnsi="宋体"/>
          <w:sz w:val="17"/>
          <w:szCs w:val="17"/>
        </w:rPr>
      </w:pPr>
      <w:r>
        <w:rPr>
          <w:rFonts w:hint="eastAsia" w:hAnsi="宋体"/>
          <w:sz w:val="17"/>
          <w:szCs w:val="17"/>
        </w:rPr>
        <w:t xml:space="preserve"> </w:t>
      </w:r>
    </w:p>
    <w:p>
      <w:pPr>
        <w:pStyle w:val="7"/>
        <w:jc w:val="center"/>
        <w:rPr>
          <w:rFonts w:hAnsi="宋体"/>
          <w:sz w:val="23"/>
          <w:szCs w:val="23"/>
        </w:rPr>
      </w:pPr>
      <w:r>
        <w:rPr>
          <w:rFonts w:hint="eastAsia" w:hAnsi="宋体"/>
          <w:sz w:val="23"/>
          <w:szCs w:val="23"/>
        </w:rPr>
        <w:t xml:space="preserve"> </w:t>
      </w:r>
    </w:p>
    <w:p>
      <w:pPr>
        <w:pStyle w:val="7"/>
        <w:jc w:val="center"/>
        <w:rPr>
          <w:rFonts w:hAnsi="宋体"/>
          <w:sz w:val="35"/>
          <w:szCs w:val="35"/>
        </w:rPr>
      </w:pPr>
      <w:r>
        <w:rPr>
          <w:rFonts w:hint="eastAsia" w:hAnsi="宋体"/>
          <w:sz w:val="35"/>
          <w:szCs w:val="35"/>
        </w:rPr>
        <w:t xml:space="preserve"> </w:t>
      </w:r>
    </w:p>
    <w:p>
      <w:pPr>
        <w:pStyle w:val="7"/>
        <w:jc w:val="center"/>
        <w:rPr>
          <w:rFonts w:hAnsi="宋体"/>
          <w:sz w:val="23"/>
          <w:szCs w:val="23"/>
        </w:rPr>
      </w:pPr>
      <w:r>
        <w:rPr>
          <w:rFonts w:hint="eastAsia" w:hAnsi="宋体"/>
          <w:sz w:val="23"/>
          <w:szCs w:val="23"/>
        </w:rPr>
        <w:t xml:space="preserve"> </w:t>
      </w:r>
    </w:p>
    <w:p>
      <w:pPr>
        <w:pStyle w:val="7"/>
        <w:jc w:val="center"/>
        <w:rPr>
          <w:rFonts w:hAnsi="宋体" w:eastAsia="宋体"/>
          <w:b/>
          <w:bCs/>
          <w:sz w:val="52"/>
          <w:szCs w:val="52"/>
        </w:rPr>
      </w:pPr>
    </w:p>
    <w:p>
      <w:pPr>
        <w:pStyle w:val="7"/>
        <w:jc w:val="center"/>
        <w:rPr>
          <w:rFonts w:hAnsi="宋体" w:eastAsia="宋体"/>
          <w:b/>
          <w:bCs/>
          <w:sz w:val="32"/>
          <w:szCs w:val="32"/>
        </w:rPr>
      </w:pPr>
    </w:p>
    <w:p>
      <w:pPr>
        <w:pStyle w:val="7"/>
        <w:jc w:val="center"/>
        <w:rPr>
          <w:rFonts w:hAnsi="宋体" w:eastAsia="宋体"/>
          <w:b/>
          <w:bCs/>
          <w:sz w:val="32"/>
          <w:szCs w:val="32"/>
        </w:rPr>
      </w:pPr>
    </w:p>
    <w:p>
      <w:pPr>
        <w:pStyle w:val="7"/>
        <w:jc w:val="center"/>
        <w:rPr>
          <w:rFonts w:hAnsi="宋体"/>
          <w:b/>
          <w:bCs/>
          <w:sz w:val="32"/>
          <w:szCs w:val="32"/>
        </w:rPr>
      </w:pPr>
      <w:r>
        <w:rPr>
          <w:rFonts w:hint="eastAsia" w:hAnsi="宋体"/>
          <w:b/>
          <w:bCs/>
          <w:sz w:val="32"/>
          <w:szCs w:val="32"/>
        </w:rPr>
        <w:t xml:space="preserve"> </w:t>
      </w:r>
    </w:p>
    <w:p>
      <w:pPr>
        <w:pStyle w:val="7"/>
        <w:spacing w:before="360" w:beforeLines="150" w:after="360" w:afterLines="150" w:line="720" w:lineRule="exact"/>
        <w:ind w:firstLine="540" w:firstLineChars="192"/>
        <w:jc w:val="center"/>
        <w:outlineLvl w:val="9"/>
        <w:rPr>
          <w:rFonts w:hAnsi="宋体"/>
          <w:b/>
          <w:bCs/>
          <w:sz w:val="28"/>
          <w:szCs w:val="28"/>
          <w:u w:val="single"/>
        </w:rPr>
      </w:pPr>
      <w:bookmarkStart w:id="266" w:name="_Toc32248"/>
      <w:bookmarkStart w:id="267" w:name="_Toc17427"/>
      <w:bookmarkStart w:id="268" w:name="_Toc30382"/>
      <w:r>
        <w:rPr>
          <w:rFonts w:hint="eastAsia" w:hAnsi="宋体"/>
          <w:b/>
          <w:bCs/>
          <w:sz w:val="28"/>
          <w:szCs w:val="28"/>
        </w:rPr>
        <w:t>参选银行(盖章)：</w:t>
      </w:r>
      <w:r>
        <w:rPr>
          <w:rFonts w:hint="eastAsia" w:hAnsi="宋体"/>
          <w:b/>
          <w:bCs/>
          <w:sz w:val="28"/>
          <w:szCs w:val="28"/>
          <w:u w:val="single"/>
        </w:rPr>
        <w:t xml:space="preserve">          [参选银行名称]</w:t>
      </w:r>
      <w:bookmarkEnd w:id="266"/>
      <w:bookmarkEnd w:id="267"/>
      <w:bookmarkEnd w:id="268"/>
    </w:p>
    <w:p>
      <w:pPr>
        <w:pStyle w:val="7"/>
        <w:spacing w:before="360" w:beforeLines="150" w:after="360" w:afterLines="150" w:line="720" w:lineRule="exact"/>
        <w:ind w:firstLine="1968" w:firstLineChars="700"/>
        <w:rPr>
          <w:rFonts w:hAnsi="宋体"/>
          <w:b/>
          <w:bCs/>
          <w:sz w:val="28"/>
          <w:szCs w:val="28"/>
          <w:u w:val="single"/>
        </w:rPr>
      </w:pPr>
      <w:r>
        <w:rPr>
          <w:rFonts w:hint="eastAsia" w:hAnsi="宋体"/>
          <w:b/>
          <w:bCs/>
          <w:sz w:val="28"/>
          <w:szCs w:val="28"/>
        </w:rPr>
        <w:t>法定代表人(签字或签章)：</w:t>
      </w:r>
      <w:r>
        <w:rPr>
          <w:rFonts w:hint="eastAsia" w:hAnsi="宋体"/>
          <w:b/>
          <w:bCs/>
          <w:sz w:val="28"/>
          <w:szCs w:val="28"/>
          <w:u w:val="single"/>
        </w:rPr>
        <w:t xml:space="preserve">         </w:t>
      </w:r>
    </w:p>
    <w:p>
      <w:pPr>
        <w:jc w:val="center"/>
        <w:rPr>
          <w:rFonts w:ascii="宋体" w:hAnsi="宋体"/>
          <w:b/>
          <w:bCs/>
          <w:sz w:val="28"/>
          <w:szCs w:val="28"/>
        </w:rPr>
      </w:pPr>
      <w:r>
        <w:rPr>
          <w:rFonts w:hint="eastAsia" w:ascii="宋体" w:hAnsi="宋体"/>
          <w:b/>
          <w:bCs/>
          <w:sz w:val="28"/>
          <w:szCs w:val="28"/>
        </w:rPr>
        <w:t xml:space="preserve"> </w:t>
      </w:r>
    </w:p>
    <w:p>
      <w:pPr>
        <w:jc w:val="center"/>
        <w:rPr>
          <w:rFonts w:ascii="宋体" w:hAnsi="宋体"/>
          <w:b/>
          <w:bCs/>
          <w:sz w:val="28"/>
          <w:szCs w:val="28"/>
        </w:rPr>
      </w:pPr>
      <w:r>
        <w:rPr>
          <w:rFonts w:hint="eastAsia" w:ascii="宋体" w:hAnsi="宋体"/>
          <w:b/>
          <w:bCs/>
          <w:sz w:val="28"/>
          <w:szCs w:val="28"/>
        </w:rPr>
        <w:t xml:space="preserve"> </w:t>
      </w:r>
    </w:p>
    <w:p>
      <w:pPr>
        <w:jc w:val="center"/>
        <w:outlineLvl w:val="9"/>
        <w:rPr>
          <w:rFonts w:ascii="宋体" w:hAnsi="宋体"/>
          <w:b/>
          <w:bCs/>
          <w:sz w:val="28"/>
          <w:szCs w:val="28"/>
        </w:rPr>
      </w:pPr>
      <w:r>
        <w:rPr>
          <w:rFonts w:hint="eastAsia" w:ascii="宋体" w:hAnsi="宋体"/>
          <w:b/>
          <w:bCs/>
          <w:sz w:val="28"/>
          <w:szCs w:val="28"/>
        </w:rPr>
        <w:t xml:space="preserve"> </w:t>
      </w:r>
      <w:bookmarkStart w:id="269" w:name="_Toc26853"/>
      <w:bookmarkStart w:id="270" w:name="_Toc24535"/>
      <w:bookmarkStart w:id="271" w:name="_Toc8647"/>
      <w:r>
        <w:rPr>
          <w:rFonts w:hint="eastAsia" w:ascii="宋体" w:hAnsi="宋体"/>
          <w:b/>
          <w:bCs/>
          <w:sz w:val="28"/>
          <w:szCs w:val="28"/>
        </w:rPr>
        <w:t>日   期：    年  月  日</w:t>
      </w:r>
      <w:bookmarkEnd w:id="269"/>
      <w:bookmarkEnd w:id="270"/>
      <w:bookmarkEnd w:id="271"/>
      <w:r>
        <w:rPr>
          <w:rFonts w:hint="eastAsia" w:ascii="宋体" w:hAnsi="宋体"/>
          <w:b/>
          <w:bCs/>
          <w:sz w:val="28"/>
          <w:szCs w:val="28"/>
        </w:rPr>
        <w:t xml:space="preserve"> </w:t>
      </w:r>
    </w:p>
    <w:p>
      <w:pPr>
        <w:spacing w:line="360" w:lineRule="auto"/>
        <w:outlineLvl w:val="1"/>
        <w:rPr>
          <w:rFonts w:hint="eastAsia" w:asciiTheme="majorEastAsia" w:hAnsiTheme="majorEastAsia" w:eastAsiaTheme="majorEastAsia" w:cstheme="majorEastAsia"/>
          <w:b/>
          <w:bCs/>
          <w:sz w:val="32"/>
          <w:szCs w:val="32"/>
        </w:rPr>
      </w:pPr>
      <w:bookmarkStart w:id="272" w:name="_Toc11489"/>
      <w:bookmarkStart w:id="273" w:name="_Toc1153"/>
      <w:bookmarkStart w:id="274" w:name="_Toc20497"/>
      <w:r>
        <w:rPr>
          <w:rFonts w:hint="eastAsia" w:asciiTheme="majorEastAsia" w:hAnsiTheme="majorEastAsia" w:eastAsiaTheme="majorEastAsia" w:cstheme="majorEastAsia"/>
          <w:b/>
          <w:bCs/>
          <w:sz w:val="32"/>
          <w:szCs w:val="32"/>
        </w:rPr>
        <w:t>一、参选文件目录 （以下文件附件按顺序装订，均需加盖公章）</w:t>
      </w:r>
      <w:bookmarkEnd w:id="272"/>
      <w:bookmarkEnd w:id="273"/>
      <w:bookmarkEnd w:id="274"/>
    </w:p>
    <w:p>
      <w:pPr>
        <w:spacing w:line="360" w:lineRule="auto"/>
        <w:jc w:val="left"/>
        <w:rPr>
          <w:rFonts w:ascii="宋体" w:hAnsi="宋体" w:eastAsia="宋体" w:cs="宋体"/>
          <w:b/>
          <w:bCs/>
          <w:sz w:val="24"/>
        </w:rPr>
      </w:pPr>
      <w:r>
        <w:rPr>
          <w:rFonts w:hint="eastAsia" w:ascii="宋体" w:hAnsi="宋体" w:eastAsia="宋体" w:cs="宋体"/>
          <w:b/>
          <w:bCs/>
          <w:sz w:val="24"/>
        </w:rPr>
        <w:t>1.营业执照复印件；</w:t>
      </w:r>
    </w:p>
    <w:p>
      <w:pPr>
        <w:spacing w:line="360" w:lineRule="auto"/>
        <w:jc w:val="left"/>
        <w:rPr>
          <w:rFonts w:ascii="宋体" w:hAnsi="宋体" w:eastAsia="宋体" w:cs="宋体"/>
          <w:b/>
          <w:bCs/>
          <w:sz w:val="24"/>
        </w:rPr>
      </w:pPr>
      <w:r>
        <w:rPr>
          <w:rFonts w:hint="eastAsia" w:ascii="宋体" w:hAnsi="宋体" w:eastAsia="宋体" w:cs="宋体"/>
          <w:b/>
          <w:bCs/>
          <w:sz w:val="24"/>
        </w:rPr>
        <w:t>2.金融许可证复印件；</w:t>
      </w:r>
    </w:p>
    <w:p>
      <w:pPr>
        <w:spacing w:line="360" w:lineRule="auto"/>
        <w:jc w:val="left"/>
        <w:rPr>
          <w:rFonts w:ascii="宋体" w:hAnsi="宋体" w:eastAsia="宋体" w:cs="宋体"/>
          <w:b/>
          <w:bCs/>
          <w:sz w:val="24"/>
        </w:rPr>
      </w:pPr>
      <w:r>
        <w:rPr>
          <w:rFonts w:hint="eastAsia" w:ascii="宋体" w:hAnsi="宋体" w:eastAsia="宋体" w:cs="宋体"/>
          <w:b/>
          <w:bCs/>
          <w:sz w:val="24"/>
        </w:rPr>
        <w:t>3.法定代表人证明书（原件）</w:t>
      </w:r>
    </w:p>
    <w:p>
      <w:pPr>
        <w:spacing w:line="360" w:lineRule="auto"/>
        <w:jc w:val="left"/>
        <w:rPr>
          <w:rFonts w:ascii="宋体" w:hAnsi="宋体" w:eastAsia="宋体" w:cs="宋体"/>
          <w:b/>
          <w:bCs/>
          <w:sz w:val="24"/>
        </w:rPr>
      </w:pPr>
      <w:r>
        <w:rPr>
          <w:rFonts w:hint="eastAsia" w:ascii="宋体" w:hAnsi="宋体" w:eastAsia="宋体" w:cs="宋体"/>
          <w:b/>
          <w:bCs/>
          <w:sz w:val="24"/>
        </w:rPr>
        <w:t>4.法定代表人身份证复印件；</w:t>
      </w:r>
    </w:p>
    <w:p>
      <w:pPr>
        <w:spacing w:line="360" w:lineRule="auto"/>
        <w:jc w:val="left"/>
        <w:rPr>
          <w:rFonts w:ascii="宋体" w:hAnsi="宋体" w:eastAsia="宋体" w:cs="宋体"/>
          <w:b/>
          <w:bCs/>
          <w:sz w:val="24"/>
        </w:rPr>
      </w:pPr>
      <w:r>
        <w:rPr>
          <w:rFonts w:hint="eastAsia" w:ascii="宋体" w:hAnsi="宋体" w:eastAsia="宋体" w:cs="宋体"/>
          <w:b/>
          <w:bCs/>
          <w:sz w:val="24"/>
        </w:rPr>
        <w:t>5.法人授权委托证明书（原件）</w:t>
      </w:r>
    </w:p>
    <w:p>
      <w:pPr>
        <w:spacing w:line="360" w:lineRule="auto"/>
        <w:jc w:val="left"/>
        <w:rPr>
          <w:rFonts w:ascii="宋体" w:hAnsi="宋体" w:eastAsia="宋体" w:cs="宋体"/>
          <w:b/>
          <w:bCs/>
          <w:sz w:val="24"/>
        </w:rPr>
      </w:pPr>
      <w:r>
        <w:rPr>
          <w:rFonts w:hint="eastAsia" w:ascii="宋体" w:hAnsi="宋体" w:eastAsia="宋体" w:cs="宋体"/>
          <w:b/>
          <w:bCs/>
          <w:sz w:val="24"/>
        </w:rPr>
        <w:t>6.委托代理人身份证复印件；</w:t>
      </w:r>
    </w:p>
    <w:p>
      <w:pPr>
        <w:spacing w:line="360" w:lineRule="auto"/>
        <w:jc w:val="left"/>
        <w:rPr>
          <w:rFonts w:ascii="宋体" w:hAnsi="宋体" w:eastAsia="宋体" w:cs="宋体"/>
          <w:b/>
          <w:bCs/>
          <w:sz w:val="24"/>
        </w:rPr>
      </w:pPr>
      <w:r>
        <w:rPr>
          <w:rFonts w:hint="eastAsia" w:ascii="宋体" w:hAnsi="宋体" w:eastAsia="宋体" w:cs="宋体"/>
          <w:b/>
          <w:bCs/>
          <w:sz w:val="24"/>
        </w:rPr>
        <w:t>7.资产实力和资本安全（及相关证明文件）；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8.银行总部经济及税收贡献（及相关证明文件）；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9.银企合作规模（及相关证明文件）；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10.集团资金业务参与情况（及相关证明文件）；</w:t>
      </w:r>
    </w:p>
    <w:p>
      <w:pPr>
        <w:spacing w:line="360" w:lineRule="auto"/>
        <w:jc w:val="left"/>
        <w:rPr>
          <w:rFonts w:ascii="宋体" w:hAnsi="宋体" w:eastAsia="宋体" w:cs="宋体"/>
          <w:b/>
          <w:bCs/>
          <w:sz w:val="24"/>
        </w:rPr>
      </w:pPr>
      <w:r>
        <w:rPr>
          <w:rFonts w:hint="eastAsia" w:ascii="宋体" w:hAnsi="宋体" w:eastAsia="宋体" w:cs="宋体"/>
          <w:b/>
          <w:bCs/>
          <w:sz w:val="24"/>
        </w:rPr>
        <w:t>11.服务水平；</w:t>
      </w:r>
    </w:p>
    <w:p>
      <w:pPr>
        <w:spacing w:line="360" w:lineRule="auto"/>
        <w:jc w:val="left"/>
        <w:rPr>
          <w:rFonts w:ascii="宋体" w:hAnsi="宋体" w:eastAsia="宋体" w:cs="宋体"/>
          <w:b/>
          <w:bCs/>
          <w:sz w:val="24"/>
        </w:rPr>
      </w:pPr>
      <w:r>
        <w:rPr>
          <w:rFonts w:hint="eastAsia" w:ascii="宋体" w:hAnsi="宋体" w:eastAsia="宋体" w:cs="宋体"/>
          <w:b/>
          <w:bCs/>
          <w:sz w:val="24"/>
        </w:rPr>
        <w:t>12.利率报价；</w:t>
      </w:r>
    </w:p>
    <w:p>
      <w:pPr>
        <w:spacing w:line="360" w:lineRule="auto"/>
        <w:jc w:val="left"/>
        <w:rPr>
          <w:rFonts w:ascii="宋体" w:hAnsi="宋体" w:eastAsia="宋体" w:cs="宋体"/>
          <w:b/>
          <w:bCs/>
          <w:sz w:val="24"/>
        </w:rPr>
      </w:pPr>
      <w:r>
        <w:rPr>
          <w:rFonts w:hint="eastAsia" w:ascii="宋体" w:hAnsi="宋体" w:eastAsia="宋体" w:cs="宋体"/>
          <w:b/>
          <w:bCs/>
          <w:sz w:val="24"/>
        </w:rPr>
        <w:t>13.廉洁投标承诺书；</w:t>
      </w:r>
    </w:p>
    <w:p>
      <w:pPr>
        <w:spacing w:line="360" w:lineRule="auto"/>
        <w:jc w:val="left"/>
        <w:rPr>
          <w:rFonts w:ascii="宋体" w:hAnsi="宋体" w:eastAsia="宋体" w:cs="宋体"/>
          <w:b/>
          <w:bCs/>
          <w:sz w:val="24"/>
        </w:rPr>
      </w:pPr>
      <w:r>
        <w:rPr>
          <w:rFonts w:hint="eastAsia" w:ascii="宋体" w:hAnsi="宋体" w:eastAsia="宋体" w:cs="宋体"/>
          <w:b/>
          <w:bCs/>
          <w:sz w:val="24"/>
        </w:rPr>
        <w:t xml:space="preserve">14.承诺函；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p>
    <w:p>
      <w:pPr>
        <w:jc w:val="center"/>
        <w:rPr>
          <w:rFonts w:ascii="宋体" w:hAnsi="宋体" w:eastAsia="宋体" w:cs="宋体"/>
          <w:b/>
          <w:bCs/>
          <w:sz w:val="24"/>
        </w:rPr>
      </w:pPr>
      <w:r>
        <w:rPr>
          <w:rFonts w:hint="eastAsia" w:ascii="宋体" w:hAnsi="宋体" w:eastAsia="宋体" w:cs="宋体"/>
          <w:b/>
          <w:bCs/>
          <w:sz w:val="24"/>
        </w:rPr>
        <w:t xml:space="preserve"> </w:t>
      </w:r>
    </w:p>
    <w:p>
      <w:pPr>
        <w:jc w:val="center"/>
        <w:rPr>
          <w:rFonts w:ascii="宋体" w:hAnsi="宋体" w:cs="宋体"/>
          <w:sz w:val="24"/>
        </w:rPr>
      </w:pPr>
      <w:r>
        <w:rPr>
          <w:rFonts w:hint="eastAsia" w:ascii="宋体" w:hAnsi="宋体" w:eastAsia="宋体" w:cs="宋体"/>
          <w:b/>
          <w:bCs/>
          <w:sz w:val="24"/>
        </w:rPr>
        <w:t xml:space="preserve">   </w:t>
      </w:r>
    </w:p>
    <w:p>
      <w:pPr>
        <w:pStyle w:val="13"/>
        <w:widowControl/>
        <w:numPr>
          <w:ilvl w:val="0"/>
          <w:numId w:val="3"/>
        </w:numPr>
        <w:overflowPunct w:val="0"/>
        <w:autoSpaceDE w:val="0"/>
        <w:autoSpaceDN w:val="0"/>
        <w:adjustRightInd w:val="0"/>
        <w:spacing w:line="360" w:lineRule="auto"/>
        <w:ind w:firstLine="0" w:firstLineChars="0"/>
        <w:jc w:val="left"/>
        <w:textAlignment w:val="baseline"/>
        <w:outlineLvl w:val="2"/>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营业执照复印件</w:t>
      </w: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pStyle w:val="13"/>
        <w:widowControl/>
        <w:overflowPunct w:val="0"/>
        <w:autoSpaceDE w:val="0"/>
        <w:autoSpaceDN w:val="0"/>
        <w:adjustRightInd w:val="0"/>
        <w:spacing w:line="360" w:lineRule="auto"/>
        <w:ind w:firstLine="0" w:firstLineChars="0"/>
        <w:jc w:val="left"/>
        <w:textAlignment w:val="baseline"/>
        <w:rPr>
          <w:rFonts w:ascii="宋体" w:hAnsi="宋体" w:cs="宋体"/>
          <w:b/>
          <w:bCs/>
          <w:sz w:val="24"/>
          <w:szCs w:val="24"/>
        </w:rPr>
      </w:pPr>
    </w:p>
    <w:p>
      <w:pPr>
        <w:jc w:val="left"/>
        <w:rPr>
          <w:rFonts w:hint="eastAsia" w:ascii="宋体" w:hAnsi="宋体" w:eastAsia="宋体" w:cs="宋体"/>
          <w:b/>
          <w:bCs/>
          <w:sz w:val="24"/>
        </w:rPr>
      </w:pPr>
    </w:p>
    <w:p>
      <w:p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2.金融许可证复印件</w:t>
      </w: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hint="eastAsia" w:ascii="宋体" w:hAnsi="宋体" w:eastAsia="宋体" w:cs="宋体"/>
          <w:b/>
          <w:bCs/>
          <w:sz w:val="24"/>
        </w:rPr>
      </w:pPr>
    </w:p>
    <w:p>
      <w:pPr>
        <w:jc w:val="left"/>
        <w:rPr>
          <w:rFonts w:hint="eastAsia" w:ascii="宋体" w:hAnsi="宋体" w:eastAsia="宋体" w:cs="宋体"/>
          <w:b/>
          <w:bCs/>
          <w:sz w:val="24"/>
        </w:rPr>
      </w:pPr>
    </w:p>
    <w:p>
      <w:p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3.法定代表人证明书（原件）</w:t>
      </w: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jc w:val="left"/>
        <w:rPr>
          <w:rFonts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4.法定代表人身份证复印件</w:t>
      </w:r>
    </w:p>
    <w:p>
      <w:pPr>
        <w:jc w:val="left"/>
        <w:rPr>
          <w:rFonts w:hint="eastAsia" w:asciiTheme="majorEastAsia" w:hAnsiTheme="majorEastAsia" w:eastAsiaTheme="majorEastAsia" w:cstheme="majorEastAsia"/>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5.法人授权委托证明书（原件）</w:t>
      </w: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numPr>
          <w:ilvl w:val="255"/>
          <w:numId w:val="0"/>
        </w:numPr>
        <w:jc w:val="left"/>
        <w:rPr>
          <w:rFonts w:hint="eastAsia" w:ascii="宋体" w:hAnsi="宋体" w:eastAsia="宋体" w:cs="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6.委托代理人身份证复印件</w:t>
      </w:r>
    </w:p>
    <w:p>
      <w:pPr>
        <w:numPr>
          <w:ilvl w:val="255"/>
          <w:numId w:val="0"/>
        </w:numPr>
        <w:jc w:val="left"/>
        <w:rPr>
          <w:rFonts w:hint="eastAsia" w:asciiTheme="minorEastAsia" w:hAnsiTheme="minorEastAsia" w:eastAsiaTheme="minorEastAsia" w:cstheme="minorEastAsia"/>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55"/>
          <w:numId w:val="0"/>
        </w:numPr>
        <w:jc w:val="left"/>
        <w:rPr>
          <w:rFonts w:ascii="宋体" w:hAnsi="宋体" w:eastAsia="宋体" w:cs="宋体"/>
          <w:b/>
          <w:bCs/>
          <w:sz w:val="24"/>
        </w:rPr>
      </w:pPr>
    </w:p>
    <w:p>
      <w:pPr>
        <w:numPr>
          <w:ilvl w:val="2"/>
          <w:numId w:val="0"/>
        </w:numPr>
        <w:tabs>
          <w:tab w:val="left" w:pos="1260"/>
        </w:tabs>
        <w:outlineLvl w:val="9"/>
        <w:rPr>
          <w:rFonts w:hint="eastAsia" w:asciiTheme="minorEastAsia" w:hAnsiTheme="minorEastAsia" w:eastAsiaTheme="minorEastAsia" w:cstheme="minorEastAsia"/>
          <w:bCs/>
          <w:sz w:val="24"/>
        </w:rPr>
      </w:pPr>
      <w:bookmarkStart w:id="275" w:name="_Toc29103"/>
      <w:bookmarkStart w:id="276" w:name="_Toc4684"/>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7. 资产实力和资本安全</w:t>
      </w:r>
      <w:bookmarkEnd w:id="275"/>
      <w:bookmarkEnd w:id="276"/>
    </w:p>
    <w:p>
      <w:pPr>
        <w:spacing w:line="360" w:lineRule="auto"/>
        <w:ind w:firstLine="480" w:firstLineChars="200"/>
        <w:rPr>
          <w:rFonts w:ascii="宋体" w:hAnsi="宋体" w:eastAsia="宋体" w:cs="宋体"/>
          <w:sz w:val="24"/>
        </w:rPr>
      </w:pPr>
      <w:r>
        <w:rPr>
          <w:rFonts w:hint="eastAsia" w:ascii="宋体" w:hAnsi="宋体" w:eastAsia="宋体" w:cs="宋体"/>
          <w:sz w:val="24"/>
        </w:rPr>
        <w:t>（根据评分办法填列相对应指标，并附数据来源证明文件）</w:t>
      </w:r>
    </w:p>
    <w:p>
      <w:pPr>
        <w:spacing w:line="360" w:lineRule="auto"/>
        <w:ind w:firstLine="480" w:firstLineChars="200"/>
        <w:rPr>
          <w:rFonts w:ascii="宋体" w:hAnsi="宋体" w:eastAsia="宋体" w:cs="宋体"/>
          <w:sz w:val="24"/>
        </w:rPr>
      </w:pPr>
    </w:p>
    <w:p>
      <w:pPr>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（一）分行资产总额</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填写要求：按照截止至2019年12月31日深圳市分行资产规模填报，单位四舍五入至亿元。</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证明文件：分行财务报表。</w:t>
      </w:r>
    </w:p>
    <w:p>
      <w:pPr>
        <w:spacing w:line="360" w:lineRule="auto"/>
        <w:ind w:firstLine="600" w:firstLineChars="250"/>
        <w:rPr>
          <w:rFonts w:ascii="宋体" w:hAnsi="宋体" w:eastAsia="宋体" w:cs="宋体"/>
          <w:bCs/>
          <w:sz w:val="24"/>
        </w:rPr>
      </w:pPr>
    </w:p>
    <w:p>
      <w:pPr>
        <w:spacing w:line="360" w:lineRule="auto"/>
        <w:rPr>
          <w:rFonts w:ascii="宋体" w:hAnsi="宋体" w:eastAsia="宋体" w:cs="宋体"/>
          <w:b/>
          <w:sz w:val="24"/>
        </w:rPr>
      </w:pPr>
      <w:r>
        <w:rPr>
          <w:rFonts w:hint="eastAsia" w:ascii="宋体" w:hAnsi="宋体" w:eastAsia="宋体" w:cs="宋体"/>
          <w:b/>
          <w:sz w:val="24"/>
        </w:rPr>
        <w:t>（二）拨备覆盖率</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480" w:firstLineChars="200"/>
        <w:rPr>
          <w:rFonts w:ascii="宋体" w:hAnsi="宋体" w:eastAsia="宋体" w:cs="宋体"/>
          <w:bCs/>
          <w:sz w:val="24"/>
        </w:rPr>
      </w:pPr>
      <w:r>
        <w:rPr>
          <w:rFonts w:hint="eastAsia" w:ascii="宋体" w:hAnsi="宋体" w:eastAsia="宋体" w:cs="宋体"/>
          <w:bCs/>
          <w:sz w:val="24"/>
        </w:rPr>
        <w:t>填写要求：按照截止至2019年12月31日总行拨备覆盖率填报。</w:t>
      </w:r>
    </w:p>
    <w:p>
      <w:pPr>
        <w:shd w:val="clear" w:color="auto" w:fill="FFFFFF" w:themeFill="background1"/>
        <w:spacing w:line="360" w:lineRule="auto"/>
        <w:ind w:firstLine="480" w:firstLineChars="200"/>
        <w:rPr>
          <w:rFonts w:ascii="宋体" w:hAnsi="宋体" w:eastAsia="宋体" w:cs="宋体"/>
          <w:bCs/>
          <w:sz w:val="24"/>
        </w:rPr>
      </w:pPr>
      <w:r>
        <w:rPr>
          <w:rFonts w:hint="eastAsia" w:ascii="宋体" w:hAnsi="宋体" w:eastAsia="宋体" w:cs="宋体"/>
          <w:bCs/>
          <w:sz w:val="24"/>
        </w:rPr>
        <w:t>证明文件：已公告的2019年年度报告（相关数据所在页），无需提供整本报告</w:t>
      </w:r>
    </w:p>
    <w:p>
      <w:pPr>
        <w:shd w:val="clear" w:color="auto" w:fill="FFFFFF" w:themeFill="background1"/>
        <w:spacing w:line="360" w:lineRule="auto"/>
        <w:ind w:firstLine="600" w:firstLineChars="250"/>
        <w:rPr>
          <w:rFonts w:ascii="宋体" w:hAnsi="宋体" w:eastAsia="宋体" w:cs="宋体"/>
          <w:bCs/>
          <w:sz w:val="24"/>
          <w:shd w:val="clear" w:color="auto" w:fill="FFFFFF" w:themeFill="background1"/>
        </w:rPr>
      </w:pPr>
    </w:p>
    <w:p>
      <w:pPr>
        <w:shd w:val="clear" w:color="auto" w:fill="FFFFFF" w:themeFill="background1"/>
        <w:spacing w:line="360" w:lineRule="auto"/>
        <w:ind w:firstLine="600" w:firstLineChars="250"/>
        <w:rPr>
          <w:rFonts w:ascii="宋体" w:hAnsi="宋体" w:eastAsia="宋体" w:cs="宋体"/>
          <w:bCs/>
          <w:sz w:val="24"/>
          <w:shd w:val="clear" w:color="auto" w:fill="FFFFFF" w:themeFill="background1"/>
        </w:rPr>
      </w:pPr>
    </w:p>
    <w:p>
      <w:pPr>
        <w:shd w:val="clear" w:color="auto" w:fill="FFFFFF" w:themeFill="background1"/>
        <w:spacing w:line="360" w:lineRule="auto"/>
        <w:rPr>
          <w:rFonts w:ascii="宋体" w:hAnsi="宋体" w:eastAsia="宋体" w:cs="宋体"/>
          <w:bCs/>
          <w:sz w:val="24"/>
          <w:shd w:val="clear" w:color="auto" w:fill="FFFFFF" w:themeFill="background1"/>
        </w:rPr>
      </w:pPr>
      <w:r>
        <w:rPr>
          <w:rFonts w:hint="eastAsia" w:ascii="宋体" w:hAnsi="宋体" w:eastAsia="宋体" w:cs="宋体"/>
          <w:b/>
          <w:sz w:val="24"/>
          <w:shd w:val="clear" w:color="auto" w:fill="FFFFFF" w:themeFill="background1"/>
        </w:rPr>
        <w:t>（三）资本充足率</w:t>
      </w:r>
      <w:r>
        <w:rPr>
          <w:rFonts w:hint="eastAsia" w:ascii="宋体" w:hAnsi="宋体" w:eastAsia="宋体" w:cs="宋体"/>
          <w:bCs/>
          <w:sz w:val="24"/>
          <w:u w:val="single"/>
          <w:shd w:val="clear" w:color="auto" w:fill="FFFFFF" w:themeFill="background1"/>
        </w:rPr>
        <w:t xml:space="preserve">：                                 </w:t>
      </w:r>
    </w:p>
    <w:p>
      <w:pPr>
        <w:shd w:val="clear" w:color="auto" w:fill="FFFFFF" w:themeFill="background1"/>
        <w:spacing w:line="360" w:lineRule="auto"/>
        <w:ind w:firstLine="600" w:firstLineChars="250"/>
        <w:rPr>
          <w:rFonts w:ascii="宋体" w:hAnsi="宋体" w:eastAsia="宋体" w:cs="宋体"/>
          <w:bCs/>
          <w:sz w:val="24"/>
          <w:shd w:val="clear" w:color="auto" w:fill="FFFFFF" w:themeFill="background1"/>
        </w:rPr>
      </w:pPr>
      <w:r>
        <w:rPr>
          <w:rFonts w:hint="eastAsia" w:ascii="宋体" w:hAnsi="宋体" w:eastAsia="宋体" w:cs="宋体"/>
          <w:bCs/>
          <w:sz w:val="24"/>
          <w:shd w:val="clear" w:color="auto" w:fill="FFFFFF" w:themeFill="background1"/>
        </w:rPr>
        <w:t>填写要求：按照截止至2019年12月31日总行资本充足率填报。</w:t>
      </w:r>
    </w:p>
    <w:p>
      <w:pPr>
        <w:shd w:val="clear" w:color="auto" w:fill="FFFFFF" w:themeFill="background1"/>
        <w:spacing w:line="360" w:lineRule="auto"/>
        <w:ind w:firstLine="480" w:firstLineChars="200"/>
        <w:rPr>
          <w:rFonts w:ascii="宋体" w:hAnsi="宋体" w:eastAsia="宋体" w:cs="宋体"/>
          <w:bCs/>
          <w:sz w:val="24"/>
          <w:shd w:val="clear" w:color="auto" w:fill="FFFFFF" w:themeFill="background1"/>
        </w:rPr>
      </w:pPr>
      <w:r>
        <w:rPr>
          <w:rFonts w:hint="eastAsia" w:ascii="宋体" w:hAnsi="宋体" w:eastAsia="宋体" w:cs="宋体"/>
          <w:bCs/>
          <w:sz w:val="24"/>
          <w:shd w:val="clear" w:color="auto" w:fill="FFFFFF" w:themeFill="background1"/>
        </w:rPr>
        <w:t>证明文件：已公告的2019年年度报告（相关数据所在页），无需提供整本报告</w:t>
      </w:r>
    </w:p>
    <w:p>
      <w:pPr>
        <w:spacing w:line="360" w:lineRule="auto"/>
        <w:ind w:firstLine="600" w:firstLineChars="250"/>
        <w:rPr>
          <w:rFonts w:ascii="宋体" w:hAnsi="宋体" w:eastAsia="宋体" w:cs="宋体"/>
          <w:bCs/>
          <w:sz w:val="24"/>
        </w:rPr>
      </w:pPr>
    </w:p>
    <w:p>
      <w:pPr>
        <w:rPr>
          <w:rFonts w:ascii="宋体" w:hAnsi="宋体" w:eastAsia="宋体" w:cs="宋体"/>
          <w:sz w:val="24"/>
        </w:rPr>
      </w:pPr>
      <w:r>
        <w:rPr>
          <w:rFonts w:hint="eastAsia" w:ascii="宋体" w:hAnsi="宋体" w:eastAsia="宋体" w:cs="宋体"/>
          <w:sz w:val="24"/>
        </w:rPr>
        <w:t xml:space="preserve"> </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360" w:lineRule="auto"/>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360" w:lineRule="auto"/>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360" w:lineRule="auto"/>
        <w:rPr>
          <w:rFonts w:ascii="宋体" w:hAnsi="宋体" w:eastAsia="宋体" w:cs="宋体"/>
          <w:b/>
          <w:sz w:val="24"/>
        </w:rPr>
      </w:pPr>
      <w:r>
        <w:rPr>
          <w:rFonts w:hint="eastAsia" w:ascii="宋体" w:hAnsi="宋体" w:eastAsia="宋体" w:cs="宋体"/>
          <w:bCs/>
          <w:color w:val="000000"/>
          <w:sz w:val="24"/>
        </w:rPr>
        <w:t xml:space="preserve">                                        年   月   日</w:t>
      </w:r>
    </w:p>
    <w:p>
      <w:pPr>
        <w:pStyle w:val="4"/>
        <w:numPr>
          <w:ilvl w:val="2"/>
          <w:numId w:val="0"/>
        </w:numPr>
        <w:outlineLvl w:val="9"/>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bookmarkStart w:id="277" w:name="_Toc20703"/>
      <w:bookmarkStart w:id="278" w:name="_Toc24448"/>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请在本部分附加盖公章的分行2019年度财务报表</w:t>
      </w:r>
      <w:bookmarkEnd w:id="277"/>
      <w:bookmarkEnd w:id="278"/>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bookmarkStart w:id="279" w:name="_Toc14798"/>
      <w:bookmarkStart w:id="280" w:name="_Toc690"/>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请在本部分附加盖公章的总行2019年年度报告（拨备覆盖率，资本充足率所在页）</w:t>
      </w:r>
      <w:bookmarkEnd w:id="279"/>
      <w:bookmarkEnd w:id="280"/>
    </w:p>
    <w:p>
      <w:pPr>
        <w:jc w:val="left"/>
        <w:outlineLvl w:val="2"/>
        <w:rPr>
          <w:rFonts w:hint="eastAsia" w:asciiTheme="majorEastAsia" w:hAnsiTheme="majorEastAsia" w:eastAsiaTheme="majorEastAsia" w:cstheme="majorEastAsia"/>
          <w:b/>
          <w:bCs/>
          <w:sz w:val="24"/>
        </w:rPr>
      </w:pPr>
      <w:bookmarkStart w:id="281" w:name="_Toc6277"/>
      <w:bookmarkStart w:id="282" w:name="_Toc3601"/>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8. 银行总部经济及税收贡献</w:t>
      </w:r>
      <w:bookmarkEnd w:id="281"/>
      <w:bookmarkEnd w:id="282"/>
    </w:p>
    <w:p>
      <w:pPr>
        <w:spacing w:line="360" w:lineRule="auto"/>
        <w:ind w:firstLine="480" w:firstLineChars="200"/>
        <w:rPr>
          <w:rFonts w:ascii="宋体" w:hAnsi="宋体" w:eastAsia="宋体" w:cs="宋体"/>
          <w:sz w:val="24"/>
        </w:rPr>
      </w:pPr>
      <w:r>
        <w:rPr>
          <w:rFonts w:hint="eastAsia" w:ascii="宋体" w:hAnsi="宋体" w:eastAsia="宋体" w:cs="宋体"/>
          <w:sz w:val="24"/>
        </w:rPr>
        <w:t>（根据评分办法填列相对应指标，并附数据来源证明文件）</w:t>
      </w:r>
    </w:p>
    <w:p>
      <w:pPr>
        <w:spacing w:line="360" w:lineRule="auto"/>
        <w:ind w:firstLine="480" w:firstLineChars="200"/>
        <w:rPr>
          <w:rFonts w:ascii="宋体" w:hAnsi="宋体" w:eastAsia="宋体" w:cs="宋体"/>
          <w:sz w:val="24"/>
        </w:rPr>
      </w:pPr>
    </w:p>
    <w:p>
      <w:pPr>
        <w:spacing w:line="360" w:lineRule="auto"/>
        <w:ind w:firstLine="480" w:firstLineChars="200"/>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（一）2019年度向深圳市缴纳税额</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填写要求：按照2019年度参选银行在深圳缴纳</w:t>
      </w:r>
      <w:bookmarkStart w:id="301" w:name="_GoBack"/>
      <w:r>
        <w:rPr>
          <w:rFonts w:hint="eastAsia" w:ascii="宋体" w:hAnsi="宋体" w:eastAsia="宋体" w:cs="宋体"/>
          <w:bCs/>
          <w:sz w:val="24"/>
        </w:rPr>
        <w:t>增值税、企业所得税金额</w:t>
      </w:r>
      <w:r>
        <w:rPr>
          <w:rFonts w:hint="eastAsia" w:ascii="宋体" w:hAnsi="宋体" w:eastAsia="宋体" w:cs="宋体"/>
          <w:bCs/>
          <w:sz w:val="24"/>
          <w:lang w:val="en-US" w:eastAsia="zh-CN"/>
        </w:rPr>
        <w:t>和个人所得税</w:t>
      </w:r>
      <w:bookmarkEnd w:id="301"/>
      <w:r>
        <w:rPr>
          <w:rFonts w:hint="eastAsia" w:ascii="宋体" w:hAnsi="宋体" w:eastAsia="宋体" w:cs="宋体"/>
          <w:bCs/>
          <w:sz w:val="24"/>
          <w:lang w:val="en-US" w:eastAsia="zh-CN"/>
        </w:rPr>
        <w:t>（含代扣代缴）</w:t>
      </w:r>
      <w:r>
        <w:rPr>
          <w:rFonts w:hint="eastAsia" w:ascii="宋体" w:hAnsi="宋体" w:eastAsia="宋体" w:cs="宋体"/>
          <w:bCs/>
          <w:sz w:val="24"/>
        </w:rPr>
        <w:t>，单位四舍五入至亿元。</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证明文件：税局提供的完税证明。</w:t>
      </w:r>
    </w:p>
    <w:p>
      <w:pPr>
        <w:spacing w:line="360" w:lineRule="auto"/>
        <w:ind w:firstLine="600" w:firstLineChars="250"/>
        <w:rPr>
          <w:rFonts w:ascii="宋体" w:hAnsi="宋体" w:eastAsia="宋体" w:cs="宋体"/>
          <w:bCs/>
          <w:sz w:val="24"/>
        </w:rPr>
      </w:pPr>
    </w:p>
    <w:p>
      <w:pPr>
        <w:spacing w:line="360" w:lineRule="auto"/>
        <w:rPr>
          <w:rFonts w:ascii="宋体" w:hAnsi="宋体" w:eastAsia="宋体" w:cs="宋体"/>
          <w:b/>
          <w:sz w:val="24"/>
        </w:rPr>
      </w:pPr>
      <w:r>
        <w:rPr>
          <w:rFonts w:hint="eastAsia" w:ascii="宋体" w:hAnsi="宋体" w:eastAsia="宋体" w:cs="宋体"/>
          <w:b/>
          <w:sz w:val="24"/>
        </w:rPr>
        <w:t>（二）银行总部是否属于深圳辖区。</w:t>
      </w:r>
    </w:p>
    <w:p>
      <w:pPr>
        <w:widowControl/>
        <w:ind w:firstLine="1920" w:firstLineChars="800"/>
        <w:jc w:val="left"/>
        <w:rPr>
          <w:rFonts w:ascii="宋体" w:hAnsi="宋体" w:eastAsia="宋体" w:cs="宋体"/>
          <w:sz w:val="24"/>
        </w:rPr>
      </w:pPr>
    </w:p>
    <w:p>
      <w:pPr>
        <w:pStyle w:val="14"/>
        <w:widowControl/>
        <w:numPr>
          <w:ilvl w:val="0"/>
          <w:numId w:val="4"/>
        </w:numPr>
        <w:ind w:firstLineChars="0"/>
        <w:jc w:val="left"/>
        <w:rPr>
          <w:rFonts w:ascii="宋体" w:hAnsi="宋体" w:eastAsia="宋体" w:cs="宋体"/>
          <w:sz w:val="24"/>
        </w:rPr>
      </w:pPr>
      <w:r>
        <w:rPr>
          <w:rFonts w:hint="eastAsia" w:ascii="宋体" w:hAnsi="宋体" w:eastAsia="宋体" w:cs="宋体"/>
          <w:bCs/>
          <w:sz w:val="24"/>
        </w:rPr>
        <w:t xml:space="preserve"> 是</w:t>
      </w:r>
      <w:r>
        <w:rPr>
          <w:rFonts w:hint="eastAsia" w:ascii="宋体" w:hAnsi="宋体" w:eastAsia="宋体" w:cs="宋体"/>
          <w:sz w:val="24"/>
        </w:rPr>
        <w:t xml:space="preserve">                 □  </w:t>
      </w:r>
      <w:r>
        <w:rPr>
          <w:rFonts w:hint="eastAsia" w:ascii="宋体" w:hAnsi="宋体" w:eastAsia="宋体" w:cs="宋体"/>
          <w:bCs/>
          <w:sz w:val="24"/>
        </w:rPr>
        <w:t>否</w:t>
      </w: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ind w:firstLine="840" w:firstLineChars="350"/>
        <w:jc w:val="left"/>
        <w:rPr>
          <w:rFonts w:ascii="宋体" w:hAnsi="宋体" w:eastAsia="宋体" w:cs="宋体"/>
          <w:sz w:val="24"/>
        </w:rPr>
      </w:pPr>
    </w:p>
    <w:p>
      <w:pPr>
        <w:pStyle w:val="14"/>
        <w:widowControl/>
        <w:numPr>
          <w:ilvl w:val="255"/>
          <w:numId w:val="0"/>
        </w:numPr>
        <w:jc w:val="left"/>
        <w:rPr>
          <w:rFonts w:ascii="宋体" w:hAnsi="宋体" w:eastAsia="宋体" w:cs="宋体"/>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pStyle w:val="14"/>
        <w:widowControl/>
        <w:numPr>
          <w:ilvl w:val="0"/>
          <w:numId w:val="4"/>
        </w:numPr>
        <w:ind w:firstLineChars="0"/>
        <w:jc w:val="left"/>
        <w:rPr>
          <w:rFonts w:ascii="宋体" w:hAnsi="宋体" w:eastAsia="宋体" w:cs="宋体"/>
          <w:sz w:val="24"/>
        </w:rPr>
      </w:pPr>
      <w:r>
        <w:rPr>
          <w:rFonts w:hint="eastAsia" w:ascii="宋体" w:hAnsi="宋体" w:eastAsia="宋体" w:cs="宋体"/>
          <w:sz w:val="24"/>
        </w:rPr>
        <w:br w:type="page"/>
      </w:r>
    </w:p>
    <w:p>
      <w:pPr>
        <w:numPr>
          <w:ilvl w:val="2"/>
          <w:numId w:val="0"/>
        </w:numPr>
        <w:tabs>
          <w:tab w:val="left" w:pos="1260"/>
        </w:tabs>
        <w:outlineLvl w:val="9"/>
        <w:rPr>
          <w:rFonts w:hint="eastAsia" w:ascii="宋体" w:hAnsi="宋体" w:eastAsia="宋体" w:cs="宋体"/>
          <w:sz w:val="24"/>
        </w:rPr>
      </w:pPr>
      <w:bookmarkStart w:id="283" w:name="_Toc14683"/>
      <w:bookmarkStart w:id="284" w:name="_Toc15472"/>
      <w:r>
        <w:rPr>
          <w:rFonts w:hint="eastAsia" w:ascii="宋体" w:hAnsi="宋体" w:eastAsia="宋体" w:cs="宋体"/>
          <w:b/>
          <w:bCs/>
          <w:sz w:val="24"/>
        </w:rPr>
        <w:t>请在本部分附加盖公章的分行2019年度完税证明</w:t>
      </w:r>
      <w:bookmarkEnd w:id="283"/>
      <w:bookmarkEnd w:id="284"/>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85" w:name="_Toc29131"/>
      <w:bookmarkStart w:id="286" w:name="_Toc17246"/>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9.银企合作规模</w:t>
      </w:r>
      <w:bookmarkEnd w:id="285"/>
      <w:bookmarkEnd w:id="286"/>
    </w:p>
    <w:p>
      <w:pPr>
        <w:rPr>
          <w:rFonts w:ascii="宋体" w:hAnsi="宋体" w:eastAsia="宋体" w:cs="宋体"/>
          <w:sz w:val="24"/>
        </w:rPr>
      </w:pPr>
      <w:r>
        <w:rPr>
          <w:rFonts w:hint="eastAsia" w:ascii="宋体" w:hAnsi="宋体" w:eastAsia="宋体" w:cs="宋体"/>
          <w:sz w:val="24"/>
        </w:rPr>
        <w:t>（根据评分办法填列相对应指标，并附数据来源证明文件）</w:t>
      </w:r>
    </w:p>
    <w:p>
      <w:pPr>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（一）以往信贷支持情况</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1.2018年-2020年4月末累计放款额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w:t>
      </w:r>
      <w:r>
        <w:rPr>
          <w:rFonts w:hint="eastAsia" w:ascii="宋体" w:hAnsi="宋体" w:eastAsia="宋体" w:cs="宋体"/>
          <w:sz w:val="24"/>
          <w:lang w:val="en-US" w:eastAsia="zh-CN"/>
        </w:rPr>
        <w:t>年5月1日至</w:t>
      </w:r>
      <w:r>
        <w:rPr>
          <w:rFonts w:hint="eastAsia" w:ascii="宋体" w:hAnsi="宋体" w:eastAsia="宋体" w:cs="宋体"/>
          <w:sz w:val="24"/>
        </w:rPr>
        <w:t>2020年4月</w:t>
      </w:r>
      <w:r>
        <w:rPr>
          <w:rFonts w:hint="eastAsia" w:ascii="宋体" w:hAnsi="宋体" w:eastAsia="宋体" w:cs="宋体"/>
          <w:sz w:val="24"/>
          <w:lang w:val="en-US" w:eastAsia="zh-CN"/>
        </w:rPr>
        <w:t>30日</w:t>
      </w:r>
      <w:r>
        <w:rPr>
          <w:rFonts w:hint="eastAsia" w:ascii="宋体" w:hAnsi="宋体" w:eastAsia="宋体" w:cs="宋体"/>
          <w:sz w:val="24"/>
        </w:rPr>
        <w:t>累计为集团本部发放银行贷款金额，单位四舍五入至亿元。</w:t>
      </w:r>
    </w:p>
    <w:p>
      <w:pPr>
        <w:spacing w:line="360" w:lineRule="auto"/>
        <w:ind w:firstLine="480" w:firstLineChars="200"/>
        <w:rPr>
          <w:rFonts w:ascii="宋体" w:hAnsi="宋体" w:eastAsia="宋体" w:cs="宋体"/>
          <w:sz w:val="24"/>
        </w:rPr>
      </w:pPr>
    </w:p>
    <w:p>
      <w:pPr>
        <w:spacing w:line="360" w:lineRule="auto"/>
        <w:ind w:firstLine="480" w:firstLineChars="200"/>
        <w:rPr>
          <w:rFonts w:ascii="宋体" w:hAnsi="宋体" w:eastAsia="宋体" w:cs="宋体"/>
          <w:sz w:val="24"/>
        </w:rPr>
      </w:pPr>
      <w:r>
        <w:rPr>
          <w:rFonts w:hint="eastAsia" w:ascii="宋体" w:hAnsi="宋体" w:eastAsia="宋体" w:cs="宋体"/>
          <w:sz w:val="24"/>
        </w:rPr>
        <w:t>2.截止至2020年4月末集团贷款余额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填写要求：截止至2020年4月</w:t>
      </w:r>
      <w:r>
        <w:rPr>
          <w:rFonts w:hint="eastAsia" w:ascii="宋体" w:hAnsi="宋体" w:eastAsia="宋体" w:cs="宋体"/>
          <w:sz w:val="24"/>
          <w:lang w:val="en-US" w:eastAsia="zh-CN"/>
        </w:rPr>
        <w:t>30日</w:t>
      </w:r>
      <w:r>
        <w:rPr>
          <w:rFonts w:hint="eastAsia" w:ascii="宋体" w:hAnsi="宋体" w:eastAsia="宋体" w:cs="宋体"/>
          <w:sz w:val="24"/>
        </w:rPr>
        <w:t>为集团本部提供贷款的余额，单位四舍五入至亿元。</w:t>
      </w:r>
    </w:p>
    <w:p>
      <w:pPr>
        <w:spacing w:line="360" w:lineRule="auto"/>
        <w:ind w:firstLine="480" w:firstLineChars="200"/>
        <w:rPr>
          <w:rFonts w:ascii="宋体" w:hAnsi="宋体" w:eastAsia="宋体" w:cs="宋体"/>
          <w:sz w:val="24"/>
        </w:rPr>
      </w:pP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3. 2018至2020年4月末累计为集团公司提供按揭放款额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w:t>
      </w:r>
      <w:r>
        <w:rPr>
          <w:rFonts w:hint="eastAsia" w:ascii="宋体" w:hAnsi="宋体" w:eastAsia="宋体" w:cs="宋体"/>
          <w:sz w:val="24"/>
          <w:lang w:val="en-US" w:eastAsia="zh-CN"/>
        </w:rPr>
        <w:t>年5月1日至</w:t>
      </w:r>
      <w:r>
        <w:rPr>
          <w:rFonts w:hint="eastAsia" w:ascii="宋体" w:hAnsi="宋体" w:eastAsia="宋体" w:cs="宋体"/>
          <w:sz w:val="24"/>
        </w:rPr>
        <w:t>2020年4月</w:t>
      </w:r>
      <w:r>
        <w:rPr>
          <w:rFonts w:hint="eastAsia" w:ascii="宋体" w:hAnsi="宋体" w:eastAsia="宋体" w:cs="宋体"/>
          <w:sz w:val="24"/>
          <w:lang w:val="en-US" w:eastAsia="zh-CN"/>
        </w:rPr>
        <w:t>30日</w:t>
      </w:r>
      <w:r>
        <w:rPr>
          <w:rFonts w:hint="eastAsia" w:ascii="宋体" w:hAnsi="宋体" w:eastAsia="宋体" w:cs="宋体"/>
          <w:sz w:val="24"/>
        </w:rPr>
        <w:t>累计为集团公司提供按揭放款的金额，单位四舍五入至亿元。</w:t>
      </w:r>
    </w:p>
    <w:p>
      <w:pPr>
        <w:spacing w:line="360" w:lineRule="auto"/>
        <w:ind w:firstLine="480" w:firstLineChars="200"/>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（二）理财及结构性存款合作情况：</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 2018至2020年4月末集团本部理财产品认购金额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w:t>
      </w:r>
      <w:r>
        <w:rPr>
          <w:rFonts w:hint="eastAsia" w:ascii="宋体" w:hAnsi="宋体" w:eastAsia="宋体" w:cs="宋体"/>
          <w:sz w:val="24"/>
          <w:lang w:val="en-US" w:eastAsia="zh-CN"/>
        </w:rPr>
        <w:t>年5月1日至</w:t>
      </w:r>
      <w:r>
        <w:rPr>
          <w:rFonts w:hint="eastAsia" w:ascii="宋体" w:hAnsi="宋体" w:eastAsia="宋体" w:cs="宋体"/>
          <w:sz w:val="24"/>
        </w:rPr>
        <w:t>2020年4月</w:t>
      </w:r>
      <w:r>
        <w:rPr>
          <w:rFonts w:hint="eastAsia" w:ascii="宋体" w:hAnsi="宋体" w:eastAsia="宋体" w:cs="宋体"/>
          <w:sz w:val="24"/>
          <w:lang w:val="en-US" w:eastAsia="zh-CN"/>
        </w:rPr>
        <w:t>30日</w:t>
      </w:r>
      <w:r>
        <w:rPr>
          <w:rFonts w:hint="eastAsia" w:ascii="宋体" w:hAnsi="宋体" w:eastAsia="宋体" w:cs="宋体"/>
          <w:sz w:val="24"/>
        </w:rPr>
        <w:t>末集团本部在参选银行处累计认购的理财产品金额，单位四舍五入至亿元。</w:t>
      </w:r>
    </w:p>
    <w:p>
      <w:pPr>
        <w:spacing w:line="360" w:lineRule="auto"/>
        <w:ind w:firstLine="480" w:firstLineChars="200"/>
        <w:rPr>
          <w:rFonts w:ascii="宋体" w:hAnsi="宋体" w:eastAsia="宋体" w:cs="宋体"/>
          <w:sz w:val="24"/>
        </w:rPr>
      </w:pPr>
    </w:p>
    <w:p>
      <w:pPr>
        <w:spacing w:line="360" w:lineRule="auto"/>
        <w:rPr>
          <w:rFonts w:ascii="宋体" w:hAnsi="宋体" w:eastAsia="宋体" w:cs="宋体"/>
          <w:b/>
          <w:bCs/>
          <w:sz w:val="24"/>
        </w:rPr>
      </w:pPr>
      <w:r>
        <w:rPr>
          <w:rFonts w:hint="eastAsia" w:ascii="宋体" w:hAnsi="宋体" w:eastAsia="宋体" w:cs="宋体"/>
          <w:b/>
          <w:bCs/>
          <w:sz w:val="24"/>
        </w:rPr>
        <w:t>（三）债券投资支持情况：</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1. 2018至2020年4月末实际认购的债券金额</w:t>
      </w:r>
      <w:r>
        <w:rPr>
          <w:rFonts w:hint="eastAsia" w:ascii="宋体" w:hAnsi="宋体" w:eastAsia="宋体" w:cs="宋体"/>
          <w:sz w:val="24"/>
          <w:u w:val="single"/>
        </w:rPr>
        <w:t xml:space="preserve">：             </w:t>
      </w:r>
      <w:r>
        <w:rPr>
          <w:rFonts w:hint="eastAsia" w:ascii="宋体" w:hAnsi="宋体" w:eastAsia="宋体" w:cs="宋体"/>
          <w:sz w:val="24"/>
        </w:rPr>
        <w:t>（亿元）</w:t>
      </w:r>
    </w:p>
    <w:p>
      <w:pPr>
        <w:spacing w:line="360" w:lineRule="auto"/>
        <w:ind w:firstLine="480" w:firstLineChars="200"/>
        <w:rPr>
          <w:rFonts w:ascii="宋体" w:hAnsi="宋体" w:eastAsia="宋体" w:cs="宋体"/>
          <w:sz w:val="24"/>
        </w:rPr>
      </w:pPr>
      <w:r>
        <w:rPr>
          <w:rFonts w:hint="eastAsia" w:ascii="宋体" w:hAnsi="宋体" w:eastAsia="宋体" w:cs="宋体"/>
          <w:sz w:val="24"/>
        </w:rPr>
        <w:t>填写要求：2018</w:t>
      </w:r>
      <w:r>
        <w:rPr>
          <w:rFonts w:hint="eastAsia" w:ascii="宋体" w:hAnsi="宋体" w:eastAsia="宋体" w:cs="宋体"/>
          <w:sz w:val="24"/>
          <w:lang w:val="en-US" w:eastAsia="zh-CN"/>
        </w:rPr>
        <w:t>年5月1日至</w:t>
      </w:r>
      <w:r>
        <w:rPr>
          <w:rFonts w:hint="eastAsia" w:ascii="宋体" w:hAnsi="宋体" w:eastAsia="宋体" w:cs="宋体"/>
          <w:sz w:val="24"/>
        </w:rPr>
        <w:t>2020年4月</w:t>
      </w:r>
      <w:r>
        <w:rPr>
          <w:rFonts w:hint="eastAsia" w:ascii="宋体" w:hAnsi="宋体" w:eastAsia="宋体" w:cs="宋体"/>
          <w:sz w:val="24"/>
          <w:lang w:val="en-US" w:eastAsia="zh-CN"/>
        </w:rPr>
        <w:t>30日</w:t>
      </w:r>
      <w:r>
        <w:rPr>
          <w:rFonts w:hint="eastAsia" w:ascii="宋体" w:hAnsi="宋体" w:eastAsia="宋体" w:cs="宋体"/>
          <w:sz w:val="24"/>
        </w:rPr>
        <w:t>末实际在集团本部发行债券中认购的金额，单位四舍五入至亿元。</w:t>
      </w:r>
    </w:p>
    <w:p>
      <w:pPr>
        <w:widowControl/>
        <w:spacing w:line="360" w:lineRule="auto"/>
        <w:ind w:firstLine="1320" w:firstLineChars="550"/>
        <w:jc w:val="left"/>
        <w:rPr>
          <w:rFonts w:ascii="宋体" w:hAnsi="宋体" w:eastAsia="宋体" w:cs="宋体"/>
          <w:sz w:val="24"/>
        </w:rPr>
      </w:pP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460" w:lineRule="exact"/>
        <w:rPr>
          <w:rFonts w:ascii="宋体" w:hAnsi="宋体" w:eastAsia="宋体" w:cs="宋体"/>
          <w:sz w:val="24"/>
        </w:rPr>
      </w:pPr>
      <w:r>
        <w:rPr>
          <w:rFonts w:hint="eastAsia" w:ascii="宋体" w:hAnsi="宋体" w:eastAsia="宋体" w:cs="宋体"/>
          <w:bCs/>
          <w:color w:val="000000"/>
          <w:sz w:val="24"/>
        </w:rPr>
        <w:t xml:space="preserve">                                                年   月   日</w:t>
      </w:r>
    </w:p>
    <w:p>
      <w:pPr>
        <w:pStyle w:val="13"/>
        <w:widowControl/>
        <w:overflowPunct w:val="0"/>
        <w:autoSpaceDE w:val="0"/>
        <w:autoSpaceDN w:val="0"/>
        <w:adjustRightInd w:val="0"/>
        <w:spacing w:line="360" w:lineRule="auto"/>
        <w:ind w:firstLine="562"/>
        <w:jc w:val="left"/>
        <w:textAlignment w:val="baseline"/>
        <w:rPr>
          <w:rFonts w:ascii="宋体" w:hAnsi="宋体"/>
          <w:b/>
          <w:bCs/>
          <w:sz w:val="28"/>
          <w:szCs w:val="28"/>
        </w:rPr>
      </w:pPr>
    </w:p>
    <w:p>
      <w:pPr>
        <w:numPr>
          <w:ilvl w:val="2"/>
          <w:numId w:val="0"/>
        </w:numPr>
        <w:tabs>
          <w:tab w:val="left" w:pos="1260"/>
        </w:tabs>
        <w:outlineLvl w:val="9"/>
        <w:rPr>
          <w:rFonts w:hint="eastAsia" w:ascii="宋体" w:hAnsi="宋体" w:eastAsia="宋体" w:cs="宋体"/>
          <w:b/>
          <w:bCs/>
          <w:sz w:val="24"/>
        </w:rPr>
      </w:pPr>
      <w:bookmarkStart w:id="287" w:name="_Toc2688"/>
      <w:bookmarkStart w:id="288" w:name="_Toc25971"/>
    </w:p>
    <w:p>
      <w:pPr>
        <w:numPr>
          <w:ilvl w:val="2"/>
          <w:numId w:val="0"/>
        </w:numPr>
        <w:tabs>
          <w:tab w:val="left" w:pos="1260"/>
        </w:tabs>
        <w:outlineLvl w:val="9"/>
        <w:rPr>
          <w:rFonts w:hint="eastAsia" w:ascii="宋体" w:hAnsi="宋体" w:eastAsia="宋体" w:cs="宋体"/>
          <w:sz w:val="24"/>
        </w:rPr>
      </w:pPr>
      <w:r>
        <w:rPr>
          <w:rFonts w:hint="eastAsia" w:ascii="宋体" w:hAnsi="宋体" w:eastAsia="宋体" w:cs="宋体"/>
          <w:b/>
          <w:bCs/>
          <w:sz w:val="24"/>
        </w:rPr>
        <w:t>请在本部分附加盖公章的为集团本部提供贷款的相关资料</w:t>
      </w:r>
      <w:bookmarkEnd w:id="287"/>
      <w:bookmarkEnd w:id="288"/>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89" w:name="_Toc26496"/>
      <w:bookmarkStart w:id="290" w:name="_Toc28102"/>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请在本部分附加盖公章的为集团公司提供按揭业务的相关资料</w:t>
      </w:r>
      <w:bookmarkEnd w:id="289"/>
      <w:bookmarkEnd w:id="290"/>
    </w:p>
    <w:p>
      <w:pPr>
        <w:numPr>
          <w:ilvl w:val="2"/>
          <w:numId w:val="0"/>
        </w:numPr>
        <w:tabs>
          <w:tab w:val="left" w:pos="1260"/>
        </w:tabs>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91" w:name="_Toc9939"/>
      <w:bookmarkStart w:id="292" w:name="_Toc15430"/>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r>
        <w:rPr>
          <w:rFonts w:hint="eastAsia" w:ascii="宋体" w:hAnsi="宋体" w:eastAsia="宋体" w:cs="宋体"/>
          <w:b/>
          <w:bCs/>
          <w:sz w:val="24"/>
        </w:rPr>
        <w:t>请在本部分附加盖公章的集团本部认购理财产品的相关资料</w:t>
      </w:r>
      <w:bookmarkEnd w:id="291"/>
      <w:bookmarkEnd w:id="292"/>
    </w:p>
    <w:p>
      <w:pPr>
        <w:numPr>
          <w:ilvl w:val="2"/>
          <w:numId w:val="0"/>
        </w:numPr>
        <w:tabs>
          <w:tab w:val="left" w:pos="1260"/>
        </w:tabs>
        <w:outlineLvl w:val="9"/>
        <w:rPr>
          <w:rFonts w:hint="eastAsia"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b/>
          <w:bCs/>
          <w:sz w:val="24"/>
        </w:rPr>
      </w:pPr>
      <w:bookmarkStart w:id="293" w:name="_Toc17109"/>
      <w:bookmarkStart w:id="294" w:name="_Toc16594"/>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hint="eastAsia" w:ascii="宋体" w:hAnsi="宋体" w:eastAsia="宋体" w:cs="宋体"/>
          <w:b/>
          <w:bCs/>
          <w:sz w:val="24"/>
        </w:rPr>
      </w:pPr>
    </w:p>
    <w:p>
      <w:pPr>
        <w:numPr>
          <w:ilvl w:val="2"/>
          <w:numId w:val="0"/>
        </w:numPr>
        <w:tabs>
          <w:tab w:val="left" w:pos="1260"/>
        </w:tabs>
        <w:outlineLvl w:val="9"/>
        <w:rPr>
          <w:rFonts w:ascii="宋体" w:hAnsi="宋体" w:eastAsia="宋体" w:cs="宋体"/>
          <w:b/>
          <w:bCs/>
          <w:sz w:val="24"/>
        </w:rPr>
      </w:pPr>
      <w:r>
        <w:rPr>
          <w:rFonts w:hint="eastAsia" w:ascii="宋体" w:hAnsi="宋体" w:eastAsia="宋体" w:cs="宋体"/>
          <w:b/>
          <w:bCs/>
          <w:sz w:val="24"/>
        </w:rPr>
        <w:t>请在本部分附加盖公章的认购集团本部发行的债券的相关资料</w:t>
      </w:r>
      <w:bookmarkEnd w:id="293"/>
      <w:bookmarkEnd w:id="294"/>
    </w:p>
    <w:p>
      <w:pPr>
        <w:numPr>
          <w:ilvl w:val="2"/>
          <w:numId w:val="0"/>
        </w:numPr>
        <w:tabs>
          <w:tab w:val="left" w:pos="1260"/>
        </w:tabs>
        <w:outlineLvl w:val="9"/>
        <w:rPr>
          <w:rFonts w:ascii="宋体" w:hAnsi="宋体" w:eastAsia="宋体" w:cs="宋体"/>
          <w:b/>
          <w:bCs/>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pStyle w:val="4"/>
        <w:numPr>
          <w:ilvl w:val="2"/>
          <w:numId w:val="0"/>
        </w:numPr>
        <w:outlineLvl w:val="9"/>
        <w:rPr>
          <w:rFonts w:ascii="宋体" w:hAnsi="宋体" w:eastAsia="宋体" w:cs="宋体"/>
          <w:sz w:val="24"/>
        </w:rPr>
      </w:pPr>
    </w:p>
    <w:p>
      <w:pPr>
        <w:numPr>
          <w:ilvl w:val="2"/>
          <w:numId w:val="0"/>
        </w:numPr>
        <w:tabs>
          <w:tab w:val="left" w:pos="1260"/>
        </w:tabs>
        <w:outlineLvl w:val="9"/>
        <w:rPr>
          <w:rFonts w:ascii="宋体" w:hAnsi="宋体" w:eastAsia="宋体" w:cs="宋体"/>
          <w:sz w:val="24"/>
        </w:rPr>
      </w:pPr>
    </w:p>
    <w:p>
      <w:pPr>
        <w:numPr>
          <w:ilvl w:val="2"/>
          <w:numId w:val="0"/>
        </w:numPr>
        <w:tabs>
          <w:tab w:val="left" w:pos="1260"/>
        </w:tabs>
        <w:outlineLvl w:val="9"/>
        <w:rPr>
          <w:rFonts w:hint="eastAsia" w:ascii="宋体" w:hAnsi="宋体" w:eastAsia="宋体" w:cs="宋体"/>
          <w:sz w:val="24"/>
        </w:rPr>
      </w:pPr>
      <w:bookmarkStart w:id="295" w:name="_Toc12219"/>
      <w:bookmarkStart w:id="296" w:name="_Toc2581"/>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9"/>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10.集团资金业务参与情况</w:t>
      </w:r>
      <w:bookmarkEnd w:id="295"/>
      <w:bookmarkEnd w:id="296"/>
    </w:p>
    <w:p>
      <w:pPr>
        <w:rPr>
          <w:rFonts w:ascii="宋体" w:hAnsi="宋体" w:eastAsia="宋体" w:cs="宋体"/>
          <w:sz w:val="24"/>
        </w:rPr>
      </w:pPr>
      <w:r>
        <w:rPr>
          <w:rFonts w:hint="eastAsia" w:ascii="宋体" w:hAnsi="宋体" w:eastAsia="宋体" w:cs="宋体"/>
          <w:sz w:val="24"/>
        </w:rPr>
        <w:t>（根据评分办法填列相对应指标，并附数据来源证明文件）</w:t>
      </w: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（一）集团本部资金业务招标采购和债券认购的中标次数</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填写要求：按照2018年</w:t>
      </w:r>
      <w:r>
        <w:rPr>
          <w:rFonts w:hint="eastAsia" w:ascii="宋体" w:hAnsi="宋体" w:eastAsia="宋体" w:cs="宋体"/>
          <w:bCs/>
          <w:sz w:val="24"/>
          <w:lang w:val="en-US" w:eastAsia="zh-CN"/>
        </w:rPr>
        <w:t>5</w:t>
      </w:r>
      <w:r>
        <w:rPr>
          <w:rFonts w:hint="eastAsia" w:ascii="宋体" w:hAnsi="宋体" w:eastAsia="宋体" w:cs="宋体"/>
          <w:bCs/>
          <w:sz w:val="24"/>
        </w:rPr>
        <w:t>月1日至2020年4月30日中标情况填报。</w:t>
      </w:r>
    </w:p>
    <w:p>
      <w:pPr>
        <w:spacing w:line="360" w:lineRule="auto"/>
        <w:ind w:firstLine="600" w:firstLineChars="250"/>
        <w:rPr>
          <w:rFonts w:hint="default" w:ascii="宋体" w:hAnsi="宋体" w:eastAsia="宋体" w:cs="宋体"/>
          <w:bCs/>
          <w:sz w:val="24"/>
          <w:lang w:val="en-US" w:eastAsia="zh-CN"/>
        </w:rPr>
      </w:pPr>
      <w:r>
        <w:rPr>
          <w:rFonts w:hint="eastAsia" w:ascii="宋体" w:hAnsi="宋体" w:eastAsia="宋体" w:cs="宋体"/>
          <w:bCs/>
          <w:sz w:val="24"/>
        </w:rPr>
        <w:t>证明文件：</w:t>
      </w:r>
      <w:r>
        <w:rPr>
          <w:rFonts w:hint="eastAsia" w:ascii="宋体" w:hAnsi="宋体" w:eastAsia="宋体" w:cs="宋体"/>
          <w:bCs/>
          <w:sz w:val="24"/>
          <w:lang w:val="en-US" w:eastAsia="zh-CN"/>
        </w:rPr>
        <w:t>相关证明材料。</w:t>
      </w:r>
    </w:p>
    <w:p>
      <w:pPr>
        <w:widowControl/>
        <w:jc w:val="left"/>
        <w:rPr>
          <w:rFonts w:ascii="宋体" w:hAnsi="宋体" w:eastAsia="宋体" w:cs="宋体"/>
          <w:sz w:val="24"/>
        </w:rPr>
      </w:pPr>
    </w:p>
    <w:p>
      <w:pPr>
        <w:widowControl/>
        <w:jc w:val="left"/>
        <w:rPr>
          <w:rFonts w:ascii="宋体" w:hAnsi="宋体" w:eastAsia="宋体" w:cs="宋体"/>
          <w:sz w:val="24"/>
        </w:rPr>
      </w:pPr>
    </w:p>
    <w:p>
      <w:pPr>
        <w:spacing w:line="360" w:lineRule="auto"/>
        <w:rPr>
          <w:rFonts w:ascii="宋体" w:hAnsi="宋体" w:eastAsia="宋体" w:cs="宋体"/>
          <w:b/>
          <w:sz w:val="24"/>
        </w:rPr>
      </w:pPr>
      <w:r>
        <w:rPr>
          <w:rFonts w:hint="eastAsia" w:ascii="宋体" w:hAnsi="宋体" w:eastAsia="宋体" w:cs="宋体"/>
          <w:b/>
          <w:sz w:val="24"/>
        </w:rPr>
        <w:t>（二）集团本部资金业务招标采购项目的参与次数</w:t>
      </w:r>
      <w:r>
        <w:rPr>
          <w:rFonts w:hint="eastAsia" w:ascii="宋体" w:hAnsi="宋体" w:eastAsia="宋体" w:cs="宋体"/>
          <w:b/>
          <w:sz w:val="24"/>
          <w:u w:val="single"/>
        </w:rPr>
        <w:t>：</w:t>
      </w:r>
      <w:r>
        <w:rPr>
          <w:rFonts w:hint="eastAsia" w:ascii="宋体" w:hAnsi="宋体" w:eastAsia="宋体" w:cs="宋体"/>
          <w:bCs/>
          <w:sz w:val="24"/>
          <w:u w:val="single"/>
        </w:rPr>
        <w:t xml:space="preserve">                         </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填写要求：按照2018年</w:t>
      </w:r>
      <w:r>
        <w:rPr>
          <w:rFonts w:hint="eastAsia" w:ascii="宋体" w:hAnsi="宋体" w:eastAsia="宋体" w:cs="宋体"/>
          <w:bCs/>
          <w:sz w:val="24"/>
          <w:lang w:val="en-US" w:eastAsia="zh-CN"/>
        </w:rPr>
        <w:t>5</w:t>
      </w:r>
      <w:r>
        <w:rPr>
          <w:rFonts w:hint="eastAsia" w:ascii="宋体" w:hAnsi="宋体" w:eastAsia="宋体" w:cs="宋体"/>
          <w:bCs/>
          <w:sz w:val="24"/>
        </w:rPr>
        <w:t>月1日至2020年4月30日招标参与情况填报。</w:t>
      </w:r>
    </w:p>
    <w:p>
      <w:pPr>
        <w:spacing w:line="360" w:lineRule="auto"/>
        <w:ind w:firstLine="600" w:firstLineChars="250"/>
        <w:rPr>
          <w:rFonts w:ascii="宋体" w:hAnsi="宋体" w:eastAsia="宋体" w:cs="宋体"/>
          <w:bCs/>
          <w:sz w:val="24"/>
        </w:rPr>
      </w:pPr>
      <w:r>
        <w:rPr>
          <w:rFonts w:hint="eastAsia" w:ascii="宋体" w:hAnsi="宋体" w:eastAsia="宋体" w:cs="宋体"/>
          <w:bCs/>
          <w:sz w:val="24"/>
        </w:rPr>
        <w:t>证明文件：参与集团本部资金业务招标的相关证明文件。</w:t>
      </w: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w:t>
      </w: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widowControl/>
        <w:jc w:val="left"/>
        <w:rPr>
          <w:rFonts w:ascii="宋体" w:hAnsi="宋体" w:eastAsia="宋体" w:cs="宋体"/>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outlineLvl w:val="9"/>
        <w:rPr>
          <w:rFonts w:hint="default" w:ascii="宋体" w:hAnsi="宋体" w:eastAsiaTheme="minorEastAsia"/>
          <w:b/>
          <w:bCs/>
          <w:sz w:val="24"/>
          <w:lang w:val="en-US" w:eastAsia="zh-CN"/>
        </w:rPr>
      </w:pPr>
      <w:r>
        <w:rPr>
          <w:rFonts w:hint="eastAsia" w:ascii="宋体" w:hAnsi="宋体"/>
          <w:b/>
          <w:bCs/>
          <w:sz w:val="24"/>
        </w:rPr>
        <w:t>请在本部分附加盖公章的</w:t>
      </w:r>
      <w:r>
        <w:rPr>
          <w:rFonts w:hint="eastAsia" w:ascii="宋体" w:hAnsi="宋体"/>
          <w:b/>
          <w:bCs/>
          <w:sz w:val="24"/>
          <w:lang w:val="en-US" w:eastAsia="zh-CN"/>
        </w:rPr>
        <w:t>相关证明材料</w:t>
      </w: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outlineLvl w:val="9"/>
        <w:rPr>
          <w:rFonts w:ascii="宋体" w:hAnsi="宋体"/>
          <w:b/>
          <w:bCs/>
          <w:sz w:val="24"/>
        </w:rPr>
      </w:pPr>
      <w:r>
        <w:rPr>
          <w:rFonts w:hint="eastAsia" w:ascii="宋体" w:hAnsi="宋体"/>
          <w:b/>
          <w:bCs/>
          <w:sz w:val="24"/>
        </w:rPr>
        <w:t>请在本部分附加盖公章的参与集团本部资金业务招标的相关证明文件</w:t>
      </w: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numPr>
          <w:ilvl w:val="255"/>
          <w:numId w:val="0"/>
        </w:numPr>
        <w:rPr>
          <w:rFonts w:hint="eastAsia" w:ascii="宋体" w:hAnsi="宋体"/>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11、服务水平</w:t>
      </w:r>
    </w:p>
    <w:p>
      <w:pPr>
        <w:numPr>
          <w:ilvl w:val="255"/>
          <w:numId w:val="0"/>
        </w:numPr>
        <w:rPr>
          <w:rFonts w:ascii="宋体" w:hAnsi="宋体"/>
          <w:b/>
          <w:bCs/>
          <w:sz w:val="24"/>
        </w:rPr>
      </w:pPr>
    </w:p>
    <w:p>
      <w:pPr>
        <w:widowControl/>
        <w:spacing w:line="360" w:lineRule="auto"/>
        <w:jc w:val="left"/>
        <w:rPr>
          <w:b/>
          <w:bCs/>
          <w:sz w:val="24"/>
        </w:rPr>
      </w:pPr>
      <w:r>
        <w:rPr>
          <w:rFonts w:hint="eastAsia"/>
          <w:b/>
          <w:bCs/>
          <w:sz w:val="24"/>
        </w:rPr>
        <w:t>（一）是否提供费用减免服务</w:t>
      </w:r>
    </w:p>
    <w:p>
      <w:pPr>
        <w:widowControl/>
        <w:spacing w:line="360" w:lineRule="auto"/>
        <w:ind w:firstLine="480"/>
        <w:jc w:val="left"/>
        <w:rPr>
          <w:sz w:val="24"/>
        </w:rPr>
      </w:pPr>
      <w:r>
        <w:rPr>
          <w:rFonts w:hint="eastAsia"/>
          <w:sz w:val="24"/>
        </w:rPr>
        <w:t>1</w:t>
      </w:r>
      <w:r>
        <w:rPr>
          <w:sz w:val="24"/>
        </w:rPr>
        <w:t>.</w:t>
      </w:r>
      <w:r>
        <w:rPr>
          <w:rFonts w:hint="eastAsia"/>
          <w:sz w:val="24"/>
        </w:rPr>
        <w:t>对集团及系统内企业提供的日常账户结算（管理）、结算、对账等提供服务，账户的账户开销变费用、账户年费、短信即时通、跨行手续费、询证函费用、网银管理费、保函查验费、ukey工本费、支票工本费是否已完成办理全免手续。</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ind w:firstLine="2160" w:firstLineChars="900"/>
        <w:jc w:val="left"/>
        <w:rPr>
          <w:sz w:val="24"/>
        </w:rPr>
      </w:pPr>
    </w:p>
    <w:p>
      <w:pPr>
        <w:widowControl/>
        <w:spacing w:line="360" w:lineRule="auto"/>
        <w:ind w:firstLine="480" w:firstLineChars="200"/>
        <w:rPr>
          <w:sz w:val="24"/>
        </w:rPr>
      </w:pPr>
      <w:r>
        <w:rPr>
          <w:rFonts w:hint="eastAsia"/>
          <w:sz w:val="24"/>
        </w:rPr>
        <w:t>2</w:t>
      </w:r>
      <w:r>
        <w:rPr>
          <w:sz w:val="24"/>
        </w:rPr>
        <w:t xml:space="preserve">. </w:t>
      </w:r>
      <w:r>
        <w:rPr>
          <w:rFonts w:hint="eastAsia"/>
          <w:sz w:val="24"/>
        </w:rPr>
        <w:t>是否承诺无论中选与否，愿意无条件按照以上服务方案对系统内企业（包括集团本部、分公司及全资子公司）现有服务进行优化。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ind w:firstLine="2160" w:firstLineChars="900"/>
        <w:jc w:val="left"/>
        <w:rPr>
          <w:sz w:val="24"/>
        </w:rPr>
      </w:pPr>
    </w:p>
    <w:p>
      <w:pPr>
        <w:widowControl/>
        <w:spacing w:line="360" w:lineRule="auto"/>
        <w:ind w:firstLine="2160" w:firstLineChars="900"/>
        <w:jc w:val="left"/>
        <w:rPr>
          <w:sz w:val="24"/>
        </w:rPr>
      </w:pPr>
    </w:p>
    <w:p>
      <w:pPr>
        <w:widowControl/>
        <w:spacing w:line="360" w:lineRule="auto"/>
        <w:jc w:val="left"/>
        <w:rPr>
          <w:b/>
          <w:bCs/>
          <w:sz w:val="24"/>
        </w:rPr>
      </w:pPr>
      <w:r>
        <w:rPr>
          <w:rFonts w:hint="eastAsia"/>
          <w:b/>
          <w:bCs/>
          <w:sz w:val="24"/>
        </w:rPr>
        <w:t>（二）为集团及系统内企业开通相应存款业务的手续</w:t>
      </w:r>
    </w:p>
    <w:p>
      <w:pPr>
        <w:widowControl/>
        <w:spacing w:line="360" w:lineRule="auto"/>
        <w:ind w:firstLine="480" w:firstLineChars="200"/>
        <w:jc w:val="left"/>
        <w:rPr>
          <w:sz w:val="24"/>
        </w:rPr>
      </w:pPr>
      <w:r>
        <w:rPr>
          <w:sz w:val="24"/>
        </w:rPr>
        <w:t>1.</w:t>
      </w:r>
      <w:r>
        <w:rPr>
          <w:rFonts w:hint="eastAsia"/>
        </w:rPr>
        <w:t xml:space="preserve"> </w:t>
      </w:r>
      <w:r>
        <w:rPr>
          <w:rFonts w:hint="eastAsia"/>
          <w:sz w:val="24"/>
        </w:rPr>
        <w:t>办理方式</w:t>
      </w:r>
    </w:p>
    <w:p>
      <w:pPr>
        <w:widowControl/>
        <w:spacing w:line="360" w:lineRule="auto"/>
        <w:jc w:val="center"/>
        <w:rPr>
          <w:sz w:val="24"/>
        </w:rPr>
      </w:pPr>
      <w:r>
        <w:rPr>
          <w:rFonts w:hint="eastAsia"/>
          <w:sz w:val="24"/>
        </w:rPr>
        <w:t xml:space="preserve"> </w:t>
      </w:r>
      <w:r>
        <w:rPr>
          <w:sz w:val="24"/>
        </w:rPr>
        <w:t xml:space="preserve">   </w:t>
      </w:r>
      <w:r>
        <w:rPr>
          <w:rFonts w:hint="eastAsia"/>
          <w:sz w:val="24"/>
        </w:rPr>
        <w:t>□ 线下认购</w:t>
      </w:r>
      <w:r>
        <w:rPr>
          <w:sz w:val="24"/>
        </w:rPr>
        <w:t xml:space="preserve">            </w:t>
      </w:r>
      <w:r>
        <w:rPr>
          <w:rFonts w:hint="eastAsia"/>
          <w:sz w:val="24"/>
        </w:rPr>
        <w:t>□ 网银操作</w:t>
      </w:r>
      <w:r>
        <w:rPr>
          <w:sz w:val="24"/>
        </w:rPr>
        <w:t xml:space="preserve">            </w:t>
      </w:r>
      <w:r>
        <w:rPr>
          <w:rFonts w:hint="eastAsia"/>
          <w:sz w:val="24"/>
        </w:rPr>
        <w:t>□</w:t>
      </w:r>
      <w:r>
        <w:rPr>
          <w:sz w:val="24"/>
        </w:rPr>
        <w:t xml:space="preserve"> </w:t>
      </w:r>
      <w:r>
        <w:rPr>
          <w:rFonts w:hint="eastAsia"/>
          <w:sz w:val="24"/>
        </w:rPr>
        <w:t>无需操作自动起息</w:t>
      </w:r>
    </w:p>
    <w:p>
      <w:pPr>
        <w:widowControl/>
        <w:spacing w:line="360" w:lineRule="auto"/>
        <w:ind w:firstLine="2160" w:firstLineChars="900"/>
        <w:jc w:val="left"/>
        <w:rPr>
          <w:sz w:val="24"/>
        </w:rPr>
      </w:pPr>
    </w:p>
    <w:p>
      <w:pPr>
        <w:widowControl/>
        <w:spacing w:line="360" w:lineRule="auto"/>
        <w:ind w:firstLine="480" w:firstLineChars="200"/>
        <w:rPr>
          <w:sz w:val="24"/>
        </w:rPr>
      </w:pPr>
      <w:r>
        <w:rPr>
          <w:sz w:val="24"/>
        </w:rPr>
        <w:t xml:space="preserve">2. </w:t>
      </w:r>
      <w:r>
        <w:rPr>
          <w:rFonts w:hint="eastAsia"/>
          <w:sz w:val="24"/>
        </w:rPr>
        <w:t>是否承诺无论中选与否，愿意无条件按照以上服务方案对系统内企业（包括集团本部、分公司及全资子公司）现有服务进行优化。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ind w:firstLine="2160" w:firstLineChars="900"/>
        <w:jc w:val="left"/>
        <w:rPr>
          <w:sz w:val="24"/>
        </w:rPr>
      </w:pPr>
    </w:p>
    <w:p>
      <w:pPr>
        <w:spacing w:line="360" w:lineRule="auto"/>
        <w:ind w:firstLine="2640" w:firstLineChars="1100"/>
        <w:jc w:val="right"/>
        <w:rPr>
          <w:sz w:val="24"/>
        </w:rPr>
      </w:pPr>
      <w:r>
        <w:rPr>
          <w:rFonts w:hint="eastAsia"/>
          <w:sz w:val="24"/>
        </w:rPr>
        <w:t xml:space="preserve"> </w:t>
      </w:r>
    </w:p>
    <w:p>
      <w:pPr>
        <w:spacing w:line="360" w:lineRule="auto"/>
        <w:ind w:firstLine="2640" w:firstLineChars="1100"/>
        <w:jc w:val="right"/>
        <w:rPr>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widowControl/>
        <w:spacing w:line="360" w:lineRule="auto"/>
        <w:jc w:val="left"/>
      </w:pPr>
      <w:r>
        <w:rPr>
          <w:sz w:val="24"/>
        </w:rPr>
        <w:br w:type="page"/>
      </w:r>
    </w:p>
    <w:p>
      <w:pPr>
        <w:jc w:val="left"/>
        <w:outlineLvl w:val="2"/>
        <w:rPr>
          <w:rFonts w:hint="eastAsia" w:asciiTheme="majorEastAsia" w:hAnsiTheme="majorEastAsia" w:eastAsiaTheme="majorEastAsia" w:cstheme="majorEastAsia"/>
          <w:b/>
          <w:bCs/>
          <w:sz w:val="24"/>
        </w:rPr>
      </w:pPr>
      <w:bookmarkStart w:id="297" w:name="_Toc18245"/>
      <w:bookmarkStart w:id="298" w:name="_Toc9969"/>
      <w:r>
        <w:rPr>
          <w:rFonts w:hint="eastAsia" w:asciiTheme="majorEastAsia" w:hAnsiTheme="majorEastAsia" w:eastAsiaTheme="majorEastAsia" w:cstheme="majorEastAsia"/>
          <w:b/>
          <w:bCs/>
          <w:sz w:val="24"/>
        </w:rPr>
        <w:t>12.利率报价</w:t>
      </w:r>
      <w:bookmarkEnd w:id="297"/>
      <w:bookmarkEnd w:id="298"/>
    </w:p>
    <w:p>
      <w:pPr>
        <w:spacing w:line="360" w:lineRule="auto"/>
        <w:rPr>
          <w:rFonts w:ascii="宋体" w:hAnsi="宋体" w:cs="宋体"/>
          <w:bCs/>
          <w:sz w:val="24"/>
        </w:rPr>
      </w:pPr>
    </w:p>
    <w:p>
      <w:pPr>
        <w:widowControl/>
        <w:spacing w:line="360" w:lineRule="auto"/>
        <w:jc w:val="left"/>
        <w:rPr>
          <w:rFonts w:ascii="宋体" w:hAnsi="宋体" w:cs="宋体"/>
          <w:b/>
          <w:sz w:val="24"/>
        </w:rPr>
      </w:pPr>
      <w:r>
        <w:rPr>
          <w:rFonts w:hint="eastAsia" w:ascii="宋体" w:hAnsi="宋体" w:cs="宋体"/>
          <w:b/>
          <w:sz w:val="24"/>
        </w:rPr>
        <w:t>（一）通知存款</w:t>
      </w:r>
    </w:p>
    <w:p>
      <w:pPr>
        <w:spacing w:line="360" w:lineRule="auto"/>
        <w:rPr>
          <w:rFonts w:ascii="宋体" w:hAnsi="宋体" w:cs="宋体"/>
          <w:bCs/>
          <w:sz w:val="24"/>
        </w:rPr>
      </w:pPr>
      <w:r>
        <w:rPr>
          <w:rFonts w:hint="eastAsia" w:ascii="宋体" w:hAnsi="宋体" w:cs="宋体"/>
          <w:bCs/>
          <w:sz w:val="24"/>
        </w:rPr>
        <w:t>（按照通知存款分类填写按照基准上浮百分比的形式填写，</w:t>
      </w:r>
      <w:r>
        <w:rPr>
          <w:rFonts w:hint="eastAsia" w:ascii="宋体" w:hAnsi="宋体" w:cs="宋体"/>
          <w:bCs/>
          <w:sz w:val="24"/>
          <w:lang w:val="en-US" w:eastAsia="zh-CN"/>
        </w:rPr>
        <w:t>所填数字保留小数点后两位</w:t>
      </w:r>
      <w:r>
        <w:rPr>
          <w:rFonts w:hint="eastAsia" w:ascii="宋体" w:hAnsi="宋体" w:cs="宋体"/>
          <w:bCs/>
          <w:sz w:val="24"/>
        </w:rPr>
        <w:t>。）</w:t>
      </w:r>
    </w:p>
    <w:p>
      <w:pPr>
        <w:widowControl/>
        <w:spacing w:line="360" w:lineRule="auto"/>
        <w:jc w:val="left"/>
        <w:rPr>
          <w:rFonts w:ascii="宋体" w:hAnsi="宋体" w:cs="宋体"/>
          <w:bCs/>
          <w:sz w:val="24"/>
          <w:u w:val="single"/>
        </w:rPr>
      </w:pPr>
      <w:r>
        <w:rPr>
          <w:rFonts w:hint="eastAsia" w:ascii="宋体" w:hAnsi="宋体" w:cs="宋体"/>
          <w:bCs/>
          <w:sz w:val="24"/>
        </w:rPr>
        <w:t xml:space="preserve"> </w:t>
      </w:r>
      <w:r>
        <w:rPr>
          <w:rFonts w:ascii="宋体" w:hAnsi="宋体" w:cs="宋体"/>
          <w:bCs/>
          <w:sz w:val="24"/>
        </w:rPr>
        <w:t xml:space="preserve"> 1.</w:t>
      </w:r>
      <w:r>
        <w:rPr>
          <w:rFonts w:hint="eastAsia" w:ascii="宋体" w:hAnsi="宋体" w:cs="宋体"/>
          <w:bCs/>
          <w:sz w:val="24"/>
        </w:rPr>
        <w:t>开通七天通知存款基准利率上浮比率</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rPr>
        <w:t>，即七天通知存款利率为</w:t>
      </w:r>
      <w:r>
        <w:rPr>
          <w:rFonts w:hint="eastAsia" w:ascii="宋体" w:hAnsi="宋体" w:cs="宋体"/>
          <w:bCs/>
          <w:sz w:val="24"/>
          <w:u w:val="single"/>
        </w:rPr>
        <w:t xml:space="preserve"> </w:t>
      </w:r>
    </w:p>
    <w:p>
      <w:pPr>
        <w:widowControl/>
        <w:spacing w:line="360" w:lineRule="auto"/>
        <w:jc w:val="left"/>
        <w:rPr>
          <w:rFonts w:ascii="宋体" w:hAnsi="宋体" w:cs="宋体"/>
          <w:bCs/>
          <w:sz w:val="24"/>
          <w:u w:val="single"/>
        </w:rPr>
      </w:pPr>
      <w:r>
        <w:rPr>
          <w:rFonts w:ascii="宋体" w:hAnsi="宋体" w:cs="宋体"/>
          <w:bCs/>
          <w:sz w:val="24"/>
          <w:u w:val="single"/>
        </w:rPr>
        <w:t xml:space="preserve">               </w:t>
      </w:r>
    </w:p>
    <w:p>
      <w:pPr>
        <w:widowControl/>
        <w:spacing w:line="360" w:lineRule="auto"/>
        <w:ind w:firstLine="240" w:firstLineChars="100"/>
        <w:rPr>
          <w:sz w:val="24"/>
        </w:rPr>
      </w:pPr>
      <w:r>
        <w:rPr>
          <w:rFonts w:hint="eastAsia"/>
          <w:sz w:val="24"/>
        </w:rPr>
        <w:t>2</w:t>
      </w:r>
      <w:r>
        <w:rPr>
          <w:sz w:val="24"/>
        </w:rPr>
        <w:t>.</w:t>
      </w:r>
      <w:r>
        <w:rPr>
          <w:rFonts w:hint="eastAsia"/>
          <w:sz w:val="24"/>
        </w:rPr>
        <w:t>是否承诺无论中选与否，愿意无条件按照以上填列通知存款利率对系统内企业（包括集团本部、分公司及全资子公司）现有服务进行优化。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widowControl/>
        <w:spacing w:line="360" w:lineRule="auto"/>
        <w:jc w:val="left"/>
        <w:rPr>
          <w:rFonts w:ascii="宋体" w:hAnsi="宋体" w:cs="宋体"/>
          <w:b/>
          <w:sz w:val="24"/>
        </w:rPr>
      </w:pPr>
      <w:r>
        <w:rPr>
          <w:rFonts w:hint="eastAsia" w:ascii="宋体" w:hAnsi="宋体" w:cs="宋体"/>
          <w:b/>
          <w:sz w:val="24"/>
        </w:rPr>
        <w:t>（二）协定存款</w:t>
      </w:r>
    </w:p>
    <w:p>
      <w:pPr>
        <w:spacing w:line="360" w:lineRule="auto"/>
        <w:rPr>
          <w:rFonts w:ascii="宋体" w:hAnsi="宋体" w:cs="宋体"/>
          <w:bCs/>
          <w:sz w:val="24"/>
        </w:rPr>
      </w:pPr>
      <w:r>
        <w:rPr>
          <w:rFonts w:hint="eastAsia" w:ascii="宋体" w:hAnsi="宋体" w:cs="宋体"/>
          <w:bCs/>
          <w:sz w:val="24"/>
        </w:rPr>
        <w:t>（按照协定存款分类填写。按照基准上浮百分比的形式填写，</w:t>
      </w:r>
      <w:r>
        <w:rPr>
          <w:rFonts w:hint="eastAsia" w:ascii="宋体" w:hAnsi="宋体" w:cs="宋体"/>
          <w:bCs/>
          <w:sz w:val="24"/>
          <w:lang w:val="en-US" w:eastAsia="zh-CN"/>
        </w:rPr>
        <w:t>所填数字保留小数点后两位</w:t>
      </w:r>
      <w:r>
        <w:rPr>
          <w:rFonts w:hint="eastAsia" w:ascii="宋体" w:hAnsi="宋体" w:cs="宋体"/>
          <w:bCs/>
          <w:sz w:val="24"/>
        </w:rPr>
        <w:t>。）</w:t>
      </w:r>
    </w:p>
    <w:p>
      <w:pPr>
        <w:widowControl/>
        <w:spacing w:line="360" w:lineRule="auto"/>
        <w:ind w:firstLine="240" w:firstLineChars="100"/>
        <w:jc w:val="left"/>
        <w:rPr>
          <w:rFonts w:ascii="宋体" w:hAnsi="宋体" w:cs="宋体"/>
          <w:bCs/>
          <w:sz w:val="24"/>
          <w:u w:val="single"/>
        </w:rPr>
      </w:pPr>
      <w:r>
        <w:rPr>
          <w:rFonts w:ascii="宋体" w:hAnsi="宋体" w:cs="宋体"/>
          <w:bCs/>
          <w:sz w:val="24"/>
        </w:rPr>
        <w:t>1.</w:t>
      </w:r>
      <w:r>
        <w:rPr>
          <w:rFonts w:hint="eastAsia" w:ascii="宋体" w:hAnsi="宋体" w:cs="宋体"/>
          <w:bCs/>
          <w:sz w:val="24"/>
        </w:rPr>
        <w:t>开通协定存款基准利率上浮比率</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rPr>
        <w:t>，即协定存款利率为</w:t>
      </w:r>
      <w:r>
        <w:rPr>
          <w:rFonts w:hint="eastAsia" w:ascii="宋体" w:hAnsi="宋体" w:cs="宋体"/>
          <w:bCs/>
          <w:sz w:val="24"/>
          <w:u w:val="single"/>
        </w:rPr>
        <w:t xml:space="preserve"> </w:t>
      </w:r>
      <w:r>
        <w:rPr>
          <w:rFonts w:ascii="宋体" w:hAnsi="宋体" w:cs="宋体"/>
          <w:bCs/>
          <w:sz w:val="24"/>
          <w:u w:val="single"/>
        </w:rPr>
        <w:t xml:space="preserve">        </w:t>
      </w:r>
    </w:p>
    <w:p>
      <w:pPr>
        <w:widowControl/>
        <w:spacing w:line="360" w:lineRule="auto"/>
        <w:ind w:firstLine="240" w:firstLineChars="100"/>
        <w:jc w:val="left"/>
        <w:rPr>
          <w:rFonts w:ascii="宋体" w:hAnsi="宋体" w:cs="宋体"/>
          <w:b/>
          <w:sz w:val="24"/>
        </w:rPr>
      </w:pPr>
      <w:r>
        <w:rPr>
          <w:rFonts w:ascii="宋体" w:hAnsi="宋体" w:cs="宋体"/>
          <w:bCs/>
          <w:sz w:val="24"/>
          <w:u w:val="single"/>
        </w:rPr>
        <w:t xml:space="preserve">       </w:t>
      </w:r>
    </w:p>
    <w:p>
      <w:pPr>
        <w:widowControl/>
        <w:spacing w:line="360" w:lineRule="auto"/>
        <w:ind w:firstLine="240" w:firstLineChars="100"/>
        <w:rPr>
          <w:sz w:val="24"/>
        </w:rPr>
      </w:pPr>
      <w:r>
        <w:rPr>
          <w:rFonts w:hint="eastAsia"/>
          <w:sz w:val="24"/>
        </w:rPr>
        <w:t>2</w:t>
      </w:r>
      <w:r>
        <w:rPr>
          <w:sz w:val="24"/>
        </w:rPr>
        <w:t>.</w:t>
      </w:r>
      <w:r>
        <w:rPr>
          <w:rFonts w:hint="eastAsia"/>
          <w:sz w:val="24"/>
        </w:rPr>
        <w:t>是否承诺无论中选与否，愿意无条件按照以上填列通知存款利率对系统内企业（包括集团本部、分公司及全资子公司）现有服务进行优化。</w:t>
      </w:r>
    </w:p>
    <w:p>
      <w:pPr>
        <w:widowControl/>
        <w:spacing w:line="360" w:lineRule="auto"/>
        <w:ind w:firstLine="2160" w:firstLineChars="900"/>
        <w:jc w:val="left"/>
        <w:rPr>
          <w:sz w:val="24"/>
        </w:rPr>
      </w:pPr>
      <w:r>
        <w:rPr>
          <w:rFonts w:hint="eastAsia"/>
          <w:sz w:val="24"/>
        </w:rPr>
        <w:t>□是</w:t>
      </w:r>
      <w:r>
        <w:rPr>
          <w:sz w:val="24"/>
        </w:rPr>
        <w:t xml:space="preserve">                               </w:t>
      </w:r>
      <w:r>
        <w:rPr>
          <w:rFonts w:hint="eastAsia"/>
          <w:sz w:val="24"/>
        </w:rPr>
        <w:t>□</w:t>
      </w:r>
      <w:r>
        <w:rPr>
          <w:sz w:val="24"/>
        </w:rPr>
        <w:t xml:space="preserve"> </w:t>
      </w:r>
      <w:r>
        <w:rPr>
          <w:rFonts w:hint="eastAsia"/>
          <w:sz w:val="24"/>
        </w:rPr>
        <w:t>否</w:t>
      </w:r>
    </w:p>
    <w:p>
      <w:pPr>
        <w:spacing w:line="360" w:lineRule="auto"/>
        <w:ind w:firstLine="400" w:firstLineChars="200"/>
        <w:rPr>
          <w:rFonts w:ascii="宋体" w:hAnsi="宋体"/>
          <w:sz w:val="20"/>
          <w:szCs w:val="20"/>
        </w:rPr>
      </w:pPr>
    </w:p>
    <w:p>
      <w:pPr>
        <w:spacing w:line="360" w:lineRule="auto"/>
        <w:ind w:firstLine="400" w:firstLineChars="200"/>
        <w:rPr>
          <w:rFonts w:ascii="宋体" w:hAnsi="宋体"/>
          <w:sz w:val="20"/>
          <w:szCs w:val="20"/>
        </w:rPr>
      </w:pPr>
    </w:p>
    <w:p>
      <w:pPr>
        <w:spacing w:line="360" w:lineRule="auto"/>
        <w:ind w:firstLine="400" w:firstLineChars="200"/>
        <w:rPr>
          <w:rFonts w:ascii="宋体" w:hAnsi="宋体"/>
          <w:sz w:val="20"/>
          <w:szCs w:val="20"/>
        </w:rPr>
      </w:pPr>
    </w:p>
    <w:p>
      <w:pPr>
        <w:spacing w:line="360" w:lineRule="auto"/>
        <w:rPr>
          <w:rFonts w:ascii="宋体" w:hAnsi="宋体"/>
          <w:sz w:val="20"/>
          <w:szCs w:val="20"/>
        </w:rPr>
      </w:pPr>
    </w:p>
    <w:p>
      <w:pPr>
        <w:spacing w:line="360" w:lineRule="auto"/>
        <w:ind w:firstLine="400" w:firstLineChars="200"/>
        <w:rPr>
          <w:rFonts w:ascii="宋体" w:hAnsi="宋体"/>
          <w:sz w:val="20"/>
          <w:szCs w:val="20"/>
        </w:rPr>
      </w:pPr>
    </w:p>
    <w:p>
      <w:pPr>
        <w:widowControl/>
        <w:spacing w:line="360" w:lineRule="auto"/>
        <w:ind w:firstLine="480" w:firstLineChars="200"/>
        <w:jc w:val="left"/>
        <w:rPr>
          <w:sz w:val="24"/>
        </w:rPr>
      </w:pPr>
    </w:p>
    <w:p>
      <w:pPr>
        <w:spacing w:line="500" w:lineRule="exact"/>
        <w:ind w:left="481" w:leftChars="229" w:right="420"/>
        <w:jc w:val="center"/>
        <w:rPr>
          <w:rFonts w:ascii="宋体" w:hAnsi="宋体" w:eastAsia="宋体" w:cs="宋体"/>
          <w:bCs/>
          <w:color w:val="000000"/>
          <w:sz w:val="24"/>
        </w:rPr>
      </w:pPr>
      <w:r>
        <w:rPr>
          <w:rFonts w:hint="eastAsia" w:ascii="宋体" w:hAnsi="宋体" w:eastAsia="宋体" w:cs="宋体"/>
          <w:bCs/>
          <w:color w:val="000000"/>
          <w:sz w:val="24"/>
        </w:rPr>
        <w:t xml:space="preserve">                参选银行名称（盖公章）：                     </w:t>
      </w:r>
    </w:p>
    <w:p>
      <w:pPr>
        <w:spacing w:line="500" w:lineRule="exact"/>
        <w:ind w:left="481" w:leftChars="229" w:right="420"/>
        <w:rPr>
          <w:rFonts w:ascii="宋体" w:hAnsi="宋体" w:eastAsia="宋体" w:cs="宋体"/>
          <w:bCs/>
          <w:color w:val="000000"/>
          <w:sz w:val="24"/>
        </w:rPr>
      </w:pPr>
      <w:r>
        <w:rPr>
          <w:rFonts w:hint="eastAsia" w:ascii="宋体" w:hAnsi="宋体" w:eastAsia="宋体" w:cs="宋体"/>
          <w:bCs/>
          <w:color w:val="000000"/>
          <w:sz w:val="24"/>
        </w:rPr>
        <w:t xml:space="preserve">                              法定代表人（签章）：              </w:t>
      </w:r>
    </w:p>
    <w:p>
      <w:pPr>
        <w:spacing w:line="500" w:lineRule="exact"/>
        <w:rPr>
          <w:rFonts w:ascii="宋体" w:hAnsi="宋体" w:eastAsia="宋体" w:cs="宋体"/>
          <w:b/>
          <w:sz w:val="24"/>
        </w:rPr>
      </w:pPr>
      <w:r>
        <w:rPr>
          <w:rFonts w:hint="eastAsia" w:ascii="宋体" w:hAnsi="宋体" w:eastAsia="宋体" w:cs="宋体"/>
          <w:bCs/>
          <w:color w:val="000000"/>
          <w:sz w:val="24"/>
        </w:rPr>
        <w:t xml:space="preserve">                                                年   月   日</w:t>
      </w:r>
    </w:p>
    <w:p>
      <w:pPr>
        <w:spacing w:line="360" w:lineRule="auto"/>
        <w:jc w:val="center"/>
        <w:rPr>
          <w:sz w:val="24"/>
        </w:rPr>
      </w:pPr>
      <w:r>
        <w:rPr>
          <w:rFonts w:hint="eastAsia"/>
          <w:sz w:val="24"/>
        </w:rPr>
        <w:t xml:space="preserve">         </w:t>
      </w:r>
      <w:r>
        <w:rPr>
          <w:sz w:val="24"/>
        </w:rPr>
        <w:t xml:space="preserve">   </w:t>
      </w:r>
    </w:p>
    <w:p>
      <w:pPr>
        <w:spacing w:line="360" w:lineRule="auto"/>
        <w:jc w:val="center"/>
        <w:rPr>
          <w:sz w:val="24"/>
        </w:rPr>
      </w:pPr>
    </w:p>
    <w:p>
      <w:pPr>
        <w:spacing w:line="360" w:lineRule="auto"/>
        <w:jc w:val="center"/>
        <w:rPr>
          <w:rFonts w:ascii="宋体" w:hAnsi="宋体" w:eastAsia="宋体" w:cs="宋体"/>
          <w:sz w:val="24"/>
        </w:rPr>
      </w:pPr>
    </w:p>
    <w:p>
      <w:pPr>
        <w:jc w:val="left"/>
        <w:rPr>
          <w:rFonts w:hint="eastAsia" w:asciiTheme="majorEastAsia" w:hAnsiTheme="majorEastAsia" w:eastAsiaTheme="majorEastAsia" w:cstheme="majorEastAsia"/>
          <w:b/>
          <w:bCs/>
          <w:sz w:val="24"/>
        </w:rPr>
      </w:pPr>
      <w:bookmarkStart w:id="299" w:name="_Toc1541"/>
      <w:bookmarkStart w:id="300" w:name="_Toc27446"/>
    </w:p>
    <w:p>
      <w:pPr>
        <w:jc w:val="left"/>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13.廉洁投标承诺书</w:t>
      </w:r>
      <w:bookmarkEnd w:id="299"/>
      <w:bookmarkEnd w:id="300"/>
    </w:p>
    <w:p>
      <w:pPr>
        <w:spacing w:line="560" w:lineRule="exact"/>
        <w:jc w:val="center"/>
        <w:rPr>
          <w:rFonts w:ascii="宋体" w:hAnsi="宋体"/>
          <w:b/>
          <w:kern w:val="0"/>
          <w:sz w:val="24"/>
        </w:rPr>
      </w:pPr>
      <w:r>
        <w:rPr>
          <w:rFonts w:hint="eastAsia" w:ascii="宋体" w:hAnsi="宋体"/>
          <w:b/>
          <w:kern w:val="0"/>
          <w:sz w:val="24"/>
        </w:rPr>
        <w:t>廉洁投标承诺书</w:t>
      </w:r>
    </w:p>
    <w:p>
      <w:pPr>
        <w:spacing w:line="560" w:lineRule="exact"/>
        <w:rPr>
          <w:rFonts w:asciiTheme="minorEastAsia" w:hAnsiTheme="minorEastAsia" w:cstheme="minorEastAsia"/>
          <w:sz w:val="24"/>
        </w:rPr>
      </w:pPr>
      <w:r>
        <w:rPr>
          <w:rFonts w:hint="eastAsia" w:asciiTheme="minorEastAsia" w:hAnsiTheme="minorEastAsia" w:cstheme="minorEastAsia"/>
          <w:sz w:val="24"/>
        </w:rPr>
        <w:t>深圳铁路投资建设集团有限公司：</w:t>
      </w:r>
    </w:p>
    <w:p>
      <w:pPr>
        <w:spacing w:line="560" w:lineRule="exact"/>
        <w:rPr>
          <w:rFonts w:asciiTheme="minorEastAsia" w:hAnsiTheme="minorEastAsia" w:cstheme="minorEastAsia"/>
          <w:sz w:val="24"/>
        </w:rPr>
      </w:pPr>
      <w:r>
        <w:rPr>
          <w:rFonts w:hint="eastAsia" w:asciiTheme="minorEastAsia" w:hAnsiTheme="minorEastAsia" w:cstheme="minorEastAsia"/>
          <w:sz w:val="24"/>
        </w:rPr>
        <w:t xml:space="preserve">    为积极配合贵单位进行的</w:t>
      </w:r>
      <w:r>
        <w:rPr>
          <w:rFonts w:hint="eastAsia" w:asciiTheme="minorEastAsia" w:hAnsiTheme="minorEastAsia" w:cstheme="minorEastAsia"/>
          <w:sz w:val="24"/>
          <w:u w:val="single"/>
        </w:rPr>
        <w:t>住房公积金账户和2020年政府专项债专户合作银行</w:t>
      </w:r>
      <w:r>
        <w:rPr>
          <w:rFonts w:hint="eastAsia" w:asciiTheme="minorEastAsia" w:hAnsiTheme="minorEastAsia" w:cstheme="minorEastAsia"/>
          <w:sz w:val="24"/>
        </w:rPr>
        <w:t>比选工作，有效遏制不公平竞争和违规违纪问题的发生，确保招标工作的公平、公正、公开，根据《中华人民共和国招标投标法》等有关法律、法规，以及政府及相关主管部门的有关条例、规定、办法等，本单位特此承诺：</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一、自觉遵守招标投标相关法律法规。</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二、主动遵照执行深圳市地铁集团有限公司的招投标及采购规定，积极配合深圳市地铁集团有限公司在招标及采购领域中的廉洁风险防控。</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三、不采用不正当竞争手段妨碍、排挤其它投标单位或串通投标。</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四、按照招标文件规定的方式进行投标，不隐瞒本单位投标资质的真实情况。</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五、在投标活动中不行贿，不给予或暗示给予招标工作人员任何不正当利益，不进行可能影响招投标公平、公正的任何活动。</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六、在投标活动中自觉抵制来自招标工作人员的索贿行为。</w:t>
      </w:r>
    </w:p>
    <w:p>
      <w:pPr>
        <w:spacing w:line="560" w:lineRule="exact"/>
        <w:ind w:firstLine="435"/>
        <w:rPr>
          <w:rFonts w:asciiTheme="minorEastAsia" w:hAnsiTheme="minorEastAsia" w:cstheme="minorEastAsia"/>
          <w:sz w:val="24"/>
        </w:rPr>
      </w:pPr>
      <w:r>
        <w:rPr>
          <w:rFonts w:hint="eastAsia" w:asciiTheme="minorEastAsia" w:hAnsiTheme="minorEastAsia" w:cstheme="minorEastAsia"/>
          <w:sz w:val="24"/>
        </w:rPr>
        <w:t>七、本单位若有违反承诺内容的行为，自愿接受相应处罚。</w:t>
      </w:r>
    </w:p>
    <w:p>
      <w:pPr>
        <w:spacing w:line="560" w:lineRule="exact"/>
        <w:ind w:firstLine="435"/>
        <w:rPr>
          <w:rFonts w:asciiTheme="minorEastAsia" w:hAnsiTheme="minorEastAsia" w:cstheme="minorEastAsia"/>
          <w:sz w:val="24"/>
        </w:rPr>
      </w:pPr>
    </w:p>
    <w:p>
      <w:pPr>
        <w:spacing w:line="560" w:lineRule="exact"/>
        <w:ind w:right="560" w:firstLine="3720" w:firstLineChars="1550"/>
        <w:rPr>
          <w:rFonts w:asciiTheme="minorEastAsia" w:hAnsiTheme="minorEastAsia" w:cstheme="minorEastAsia"/>
          <w:sz w:val="24"/>
        </w:rPr>
      </w:pPr>
      <w:r>
        <w:rPr>
          <w:rFonts w:hint="eastAsia" w:asciiTheme="minorEastAsia" w:hAnsiTheme="minorEastAsia" w:cstheme="minorEastAsia"/>
          <w:sz w:val="24"/>
        </w:rPr>
        <w:t>投标单位：</w:t>
      </w:r>
      <w:r>
        <w:rPr>
          <w:rFonts w:hint="eastAsia" w:asciiTheme="minorEastAsia" w:hAnsiTheme="minorEastAsia" w:cstheme="minorEastAsia"/>
          <w:sz w:val="24"/>
          <w:u w:val="single"/>
        </w:rPr>
        <w:t xml:space="preserve">（盖章）           </w:t>
      </w:r>
    </w:p>
    <w:p>
      <w:pPr>
        <w:spacing w:line="560" w:lineRule="exact"/>
        <w:ind w:right="560" w:firstLine="3720" w:firstLineChars="1550"/>
        <w:rPr>
          <w:rFonts w:asciiTheme="minorEastAsia" w:hAnsiTheme="minorEastAsia" w:cstheme="minorEastAsia"/>
          <w:sz w:val="24"/>
          <w:u w:val="single"/>
        </w:rPr>
      </w:pPr>
      <w:r>
        <w:rPr>
          <w:rFonts w:hint="eastAsia" w:asciiTheme="minorEastAsia" w:hAnsiTheme="minorEastAsia" w:cstheme="minorEastAsia"/>
          <w:sz w:val="24"/>
        </w:rPr>
        <w:t>法定代表人：</w:t>
      </w:r>
      <w:r>
        <w:rPr>
          <w:rFonts w:hint="eastAsia" w:asciiTheme="minorEastAsia" w:hAnsiTheme="minorEastAsia" w:cstheme="minorEastAsia"/>
          <w:sz w:val="24"/>
          <w:u w:val="single"/>
        </w:rPr>
        <w:t xml:space="preserve">(签字)          </w:t>
      </w:r>
    </w:p>
    <w:p>
      <w:pPr>
        <w:spacing w:line="560" w:lineRule="exact"/>
        <w:ind w:right="560" w:firstLine="3720" w:firstLineChars="1550"/>
        <w:rPr>
          <w:rFonts w:asciiTheme="minorEastAsia" w:hAnsiTheme="minorEastAsia" w:cstheme="minorEastAsia"/>
          <w:sz w:val="24"/>
          <w:u w:val="single"/>
        </w:rPr>
      </w:pPr>
      <w:r>
        <w:rPr>
          <w:rFonts w:hint="eastAsia" w:asciiTheme="minorEastAsia" w:hAnsiTheme="minorEastAsia" w:cstheme="minorEastAsia"/>
          <w:sz w:val="24"/>
        </w:rPr>
        <w:t>委托代理人：</w:t>
      </w:r>
      <w:r>
        <w:rPr>
          <w:rFonts w:hint="eastAsia" w:asciiTheme="minorEastAsia" w:hAnsiTheme="minorEastAsia" w:cstheme="minorEastAsia"/>
          <w:sz w:val="24"/>
          <w:u w:val="single"/>
        </w:rPr>
        <w:t xml:space="preserve">(签字)          </w:t>
      </w:r>
    </w:p>
    <w:p>
      <w:pPr>
        <w:rPr>
          <w:rFonts w:asciiTheme="minorEastAsia" w:hAnsiTheme="minorEastAsia" w:cstheme="minorEastAsia"/>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840" w:lineRule="exact"/>
        <w:rPr>
          <w:rFonts w:ascii="宋体" w:hAnsi="宋体" w:eastAsia="宋体" w:cs="宋体"/>
          <w:b/>
          <w:kern w:val="0"/>
          <w:sz w:val="24"/>
        </w:rPr>
      </w:pPr>
    </w:p>
    <w:p>
      <w:pPr>
        <w:rPr>
          <w:rFonts w:ascii="宋体" w:hAnsi="宋体" w:eastAsia="宋体" w:cs="宋体"/>
          <w:b/>
          <w:kern w:val="0"/>
          <w:sz w:val="24"/>
        </w:rPr>
      </w:pPr>
    </w:p>
    <w:p>
      <w:pPr>
        <w:rPr>
          <w:rFonts w:ascii="宋体" w:hAnsi="宋体" w:eastAsia="宋体" w:cs="宋体"/>
          <w:b/>
          <w:kern w:val="0"/>
          <w:sz w:val="24"/>
        </w:rPr>
      </w:pPr>
    </w:p>
    <w:p>
      <w:pPr>
        <w:rPr>
          <w:rFonts w:ascii="宋体" w:hAnsi="宋体" w:eastAsia="宋体" w:cs="宋体"/>
          <w:b/>
          <w:kern w:val="0"/>
          <w:sz w:val="24"/>
        </w:rPr>
      </w:pPr>
    </w:p>
    <w:p>
      <w:pPr>
        <w:rPr>
          <w:rFonts w:ascii="宋体" w:hAnsi="宋体" w:eastAsia="宋体" w:cs="宋体"/>
          <w:b/>
          <w:kern w:val="0"/>
          <w:sz w:val="24"/>
        </w:rPr>
      </w:pPr>
    </w:p>
    <w:p>
      <w:pPr>
        <w:jc w:val="left"/>
        <w:rPr>
          <w:rFonts w:hint="eastAsia" w:asciiTheme="majorEastAsia" w:hAnsiTheme="majorEastAsia" w:eastAsiaTheme="majorEastAsia" w:cstheme="majorEastAsia"/>
          <w:b/>
          <w:bCs/>
          <w:sz w:val="24"/>
        </w:rPr>
      </w:pPr>
    </w:p>
    <w:p>
      <w:pPr>
        <w:jc w:val="left"/>
        <w:outlineLvl w:val="2"/>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14.承诺函</w:t>
      </w:r>
    </w:p>
    <w:p>
      <w:pPr>
        <w:pStyle w:val="7"/>
        <w:spacing w:before="120" w:beforeLines="50" w:after="120" w:afterLines="50" w:line="520" w:lineRule="exact"/>
        <w:jc w:val="center"/>
        <w:rPr>
          <w:rFonts w:hAnsi="宋体"/>
          <w:b/>
          <w:bCs/>
          <w:szCs w:val="20"/>
        </w:rPr>
      </w:pPr>
      <w:r>
        <w:rPr>
          <w:rFonts w:hint="eastAsia" w:hAnsi="宋体"/>
          <w:b/>
          <w:bCs/>
          <w:sz w:val="24"/>
        </w:rPr>
        <w:t>承诺函</w:t>
      </w:r>
    </w:p>
    <w:p>
      <w:pPr>
        <w:jc w:val="left"/>
        <w:rPr>
          <w:rFonts w:hint="eastAsia" w:ascii="宋体" w:hAnsi="宋体" w:eastAsia="宋体" w:cs="宋体"/>
          <w:kern w:val="2"/>
          <w:sz w:val="22"/>
          <w:szCs w:val="22"/>
        </w:rPr>
      </w:pPr>
      <w:r>
        <w:rPr>
          <w:rFonts w:hint="eastAsia" w:ascii="宋体" w:hAnsi="宋体" w:eastAsia="宋体" w:cs="宋体"/>
          <w:kern w:val="2"/>
          <w:sz w:val="22"/>
          <w:szCs w:val="22"/>
        </w:rPr>
        <w:t>致：深圳铁路投资建设集团有限公司</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经分析研究贵司提供的比选文件后，我方愿以递交的服务方案作为深圳铁路投资建设集团有限公司（以下简称“铁投公司”）住房公积金账户和2020年政府专项债专户合作银行比选项目的相关文件,并按照服务方案以及贵司的要求完成各项业务的办理。</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2.我方特此声明及承诺对贵司比选文件中的服务要求无保留、无条件同意。</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3.如贵司接受我方参选，我方保证按比选文件要求的期限完成审批工作，并承诺在比选人所在地随时提供本项目所需服务。</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4.我方同意在规定的递交参选书截止之日起60天内遵守本参选文件规定。在该期限期满之前，本参选文件对我方始终有约束力，并可随时被接受。</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5.我方承诺：若我方成为中选/备选银行,无条件将参选文件中的涉及的相关条款有效期由原60天延长至服务期满日。在该期限期满之前，本参选文件对我方始终有约束力，并可随时被接受。</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6.我方承诺：无论我方是否中选，我方愿意按照此次递交的服务方案为贵司系统内企业（含集团本部、分公司、全资子公司）提供服务优化及费用优惠。</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我方承诺：如我方中选，我方保证在规定的期限内提供相应的服务。我方所提交的参选文件在中选后不得任意更改，如确需变更，需经比选人认可同意，如未经比选人同意，我方自行变更的，自愿接受相应处罚。</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我方保证：在参选过程中，我方严守国家法律、法规，本着诚实守信的原则，无互相串通参选报价、无排挤其它参选银行的合法权益、无向比选人人或评委成员行贿谋取中标、无以他人名义参选或以其它方式弄虚作假骗取中选的不良行为。</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9.我方承诺无条件服从条款：“比选人在与参选银行签订正式合同之前任何时候均有权宣布终止比选程序，对受影响的参选银行不承担任何责任，也无义务向受影响的参选银行作出解释。”</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 xml:space="preserve"> </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参选银行：（盖章）</w:t>
      </w:r>
      <w:r>
        <w:rPr>
          <w:rFonts w:hint="eastAsia" w:asciiTheme="majorEastAsia" w:hAnsiTheme="majorEastAsia" w:eastAsiaTheme="majorEastAsia" w:cstheme="majorEastAsia"/>
          <w:sz w:val="22"/>
          <w:szCs w:val="22"/>
          <w:u w:val="single"/>
        </w:rPr>
        <w:t xml:space="preserve">         [参选银行名称]                                     </w:t>
      </w:r>
    </w:p>
    <w:p>
      <w:pPr>
        <w:spacing w:line="460" w:lineRule="exact"/>
        <w:ind w:firstLine="440" w:firstLineChars="200"/>
        <w:rPr>
          <w:rFonts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法定代表人签字/签章：</w:t>
      </w:r>
    </w:p>
    <w:p>
      <w:r>
        <w:rPr>
          <w:rFonts w:hint="eastAsia" w:asciiTheme="majorEastAsia" w:hAnsiTheme="majorEastAsia" w:eastAsiaTheme="majorEastAsia" w:cstheme="majorEastAsia"/>
          <w:sz w:val="22"/>
          <w:szCs w:val="22"/>
        </w:rPr>
        <w:t>日期：年    月    日</w:t>
      </w:r>
    </w:p>
    <w:p>
      <w:pPr>
        <w:spacing w:line="460" w:lineRule="exact"/>
        <w:ind w:firstLine="400" w:firstLineChars="200"/>
        <w:rPr>
          <w:rFonts w:ascii="宋体" w:hAnsi="宋体"/>
          <w:sz w:val="20"/>
          <w:szCs w:val="20"/>
        </w:rPr>
      </w:pPr>
    </w:p>
    <w:p/>
    <w:sectPr>
      <w:pgSz w:w="11906" w:h="16838"/>
      <w:pgMar w:top="1021" w:right="1797" w:bottom="102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801817"/>
    <w:multiLevelType w:val="singleLevel"/>
    <w:tmpl w:val="E6801817"/>
    <w:lvl w:ilvl="0" w:tentative="0">
      <w:start w:val="1"/>
      <w:numFmt w:val="chineseCounting"/>
      <w:suff w:val="space"/>
      <w:lvlText w:val="第%1章"/>
      <w:lvlJc w:val="left"/>
      <w:rPr>
        <w:rFonts w:hint="eastAsia"/>
      </w:rPr>
    </w:lvl>
  </w:abstractNum>
  <w:abstractNum w:abstractNumId="1">
    <w:nsid w:val="0294F314"/>
    <w:multiLevelType w:val="singleLevel"/>
    <w:tmpl w:val="0294F314"/>
    <w:lvl w:ilvl="0" w:tentative="0">
      <w:start w:val="1"/>
      <w:numFmt w:val="decimal"/>
      <w:lvlText w:val="%1."/>
      <w:lvlJc w:val="left"/>
      <w:pPr>
        <w:tabs>
          <w:tab w:val="left" w:pos="312"/>
        </w:tabs>
      </w:pPr>
    </w:lvl>
  </w:abstractNum>
  <w:abstractNum w:abstractNumId="2">
    <w:nsid w:val="14F5412A"/>
    <w:multiLevelType w:val="multilevel"/>
    <w:tmpl w:val="14F5412A"/>
    <w:lvl w:ilvl="0" w:tentative="0">
      <w:start w:val="2"/>
      <w:numFmt w:val="bullet"/>
      <w:lvlText w:val="□"/>
      <w:lvlJc w:val="left"/>
      <w:pPr>
        <w:ind w:left="2280" w:hanging="360"/>
      </w:pPr>
      <w:rPr>
        <w:rFonts w:hint="eastAsia" w:ascii="宋体" w:hAnsi="宋体" w:eastAsia="宋体" w:cstheme="minorBidi"/>
      </w:rPr>
    </w:lvl>
    <w:lvl w:ilvl="1" w:tentative="0">
      <w:start w:val="1"/>
      <w:numFmt w:val="bullet"/>
      <w:lvlText w:val=""/>
      <w:lvlJc w:val="left"/>
      <w:pPr>
        <w:ind w:left="2760" w:hanging="420"/>
      </w:pPr>
      <w:rPr>
        <w:rFonts w:hint="default" w:ascii="Wingdings" w:hAnsi="Wingdings"/>
      </w:rPr>
    </w:lvl>
    <w:lvl w:ilvl="2" w:tentative="0">
      <w:start w:val="1"/>
      <w:numFmt w:val="bullet"/>
      <w:lvlText w:val=""/>
      <w:lvlJc w:val="left"/>
      <w:pPr>
        <w:ind w:left="3180" w:hanging="420"/>
      </w:pPr>
      <w:rPr>
        <w:rFonts w:hint="default" w:ascii="Wingdings" w:hAnsi="Wingdings"/>
      </w:rPr>
    </w:lvl>
    <w:lvl w:ilvl="3" w:tentative="0">
      <w:start w:val="1"/>
      <w:numFmt w:val="bullet"/>
      <w:lvlText w:val=""/>
      <w:lvlJc w:val="left"/>
      <w:pPr>
        <w:ind w:left="3600" w:hanging="420"/>
      </w:pPr>
      <w:rPr>
        <w:rFonts w:hint="default" w:ascii="Wingdings" w:hAnsi="Wingdings"/>
      </w:rPr>
    </w:lvl>
    <w:lvl w:ilvl="4" w:tentative="0">
      <w:start w:val="1"/>
      <w:numFmt w:val="bullet"/>
      <w:lvlText w:val=""/>
      <w:lvlJc w:val="left"/>
      <w:pPr>
        <w:ind w:left="4020" w:hanging="420"/>
      </w:pPr>
      <w:rPr>
        <w:rFonts w:hint="default" w:ascii="Wingdings" w:hAnsi="Wingdings"/>
      </w:rPr>
    </w:lvl>
    <w:lvl w:ilvl="5" w:tentative="0">
      <w:start w:val="1"/>
      <w:numFmt w:val="bullet"/>
      <w:lvlText w:val=""/>
      <w:lvlJc w:val="left"/>
      <w:pPr>
        <w:ind w:left="4440" w:hanging="420"/>
      </w:pPr>
      <w:rPr>
        <w:rFonts w:hint="default" w:ascii="Wingdings" w:hAnsi="Wingdings"/>
      </w:rPr>
    </w:lvl>
    <w:lvl w:ilvl="6" w:tentative="0">
      <w:start w:val="1"/>
      <w:numFmt w:val="bullet"/>
      <w:lvlText w:val=""/>
      <w:lvlJc w:val="left"/>
      <w:pPr>
        <w:ind w:left="4860" w:hanging="420"/>
      </w:pPr>
      <w:rPr>
        <w:rFonts w:hint="default" w:ascii="Wingdings" w:hAnsi="Wingdings"/>
      </w:rPr>
    </w:lvl>
    <w:lvl w:ilvl="7" w:tentative="0">
      <w:start w:val="1"/>
      <w:numFmt w:val="bullet"/>
      <w:lvlText w:val=""/>
      <w:lvlJc w:val="left"/>
      <w:pPr>
        <w:ind w:left="5280" w:hanging="420"/>
      </w:pPr>
      <w:rPr>
        <w:rFonts w:hint="default" w:ascii="Wingdings" w:hAnsi="Wingdings"/>
      </w:rPr>
    </w:lvl>
    <w:lvl w:ilvl="8" w:tentative="0">
      <w:start w:val="1"/>
      <w:numFmt w:val="bullet"/>
      <w:lvlText w:val=""/>
      <w:lvlJc w:val="left"/>
      <w:pPr>
        <w:ind w:left="5700" w:hanging="420"/>
      </w:pPr>
      <w:rPr>
        <w:rFonts w:hint="default" w:ascii="Wingdings" w:hAnsi="Wingdings"/>
      </w:rPr>
    </w:lvl>
  </w:abstractNum>
  <w:abstractNum w:abstractNumId="3">
    <w:nsid w:val="71DCEDEB"/>
    <w:multiLevelType w:val="singleLevel"/>
    <w:tmpl w:val="71DCEDEB"/>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2011"/>
    <w:rsid w:val="01D83053"/>
    <w:rsid w:val="06DD6B89"/>
    <w:rsid w:val="08FA1E1F"/>
    <w:rsid w:val="0DCC7BA7"/>
    <w:rsid w:val="0E735CE1"/>
    <w:rsid w:val="0F0157A6"/>
    <w:rsid w:val="0F0750C9"/>
    <w:rsid w:val="0F5D7247"/>
    <w:rsid w:val="0F740E1F"/>
    <w:rsid w:val="0FE34E2C"/>
    <w:rsid w:val="10DA7CF9"/>
    <w:rsid w:val="11351A62"/>
    <w:rsid w:val="11652E67"/>
    <w:rsid w:val="12AE609B"/>
    <w:rsid w:val="137704DF"/>
    <w:rsid w:val="13A60DC5"/>
    <w:rsid w:val="13C156C6"/>
    <w:rsid w:val="14A176CB"/>
    <w:rsid w:val="15DF4EA9"/>
    <w:rsid w:val="17DB26F0"/>
    <w:rsid w:val="188631F6"/>
    <w:rsid w:val="194B6119"/>
    <w:rsid w:val="19BF2A1D"/>
    <w:rsid w:val="1A27285D"/>
    <w:rsid w:val="1DEA5A83"/>
    <w:rsid w:val="21C27E8B"/>
    <w:rsid w:val="220217AF"/>
    <w:rsid w:val="24844BFB"/>
    <w:rsid w:val="25C8347B"/>
    <w:rsid w:val="29C23D05"/>
    <w:rsid w:val="2B255DC1"/>
    <w:rsid w:val="2BAB7287"/>
    <w:rsid w:val="2E224DAE"/>
    <w:rsid w:val="2F351EBC"/>
    <w:rsid w:val="35C470ED"/>
    <w:rsid w:val="375924B4"/>
    <w:rsid w:val="375B3CC7"/>
    <w:rsid w:val="38733CEA"/>
    <w:rsid w:val="38905308"/>
    <w:rsid w:val="3A162EEF"/>
    <w:rsid w:val="3AA36816"/>
    <w:rsid w:val="3C5F0B63"/>
    <w:rsid w:val="3D2855A3"/>
    <w:rsid w:val="405E40C0"/>
    <w:rsid w:val="41342B87"/>
    <w:rsid w:val="445828CC"/>
    <w:rsid w:val="47511C96"/>
    <w:rsid w:val="496060C3"/>
    <w:rsid w:val="4A680D8E"/>
    <w:rsid w:val="4BCB0BF3"/>
    <w:rsid w:val="4BE60223"/>
    <w:rsid w:val="4C787546"/>
    <w:rsid w:val="4E045F66"/>
    <w:rsid w:val="4EEF1278"/>
    <w:rsid w:val="552D663D"/>
    <w:rsid w:val="565B04A9"/>
    <w:rsid w:val="56654744"/>
    <w:rsid w:val="598B3CE5"/>
    <w:rsid w:val="5A303DAF"/>
    <w:rsid w:val="5F630F6C"/>
    <w:rsid w:val="5F82285B"/>
    <w:rsid w:val="6184345E"/>
    <w:rsid w:val="61DD6A2E"/>
    <w:rsid w:val="63716A6D"/>
    <w:rsid w:val="63CC3EBE"/>
    <w:rsid w:val="6451738B"/>
    <w:rsid w:val="65DE2C7C"/>
    <w:rsid w:val="66834FCA"/>
    <w:rsid w:val="66C46E3D"/>
    <w:rsid w:val="66C77597"/>
    <w:rsid w:val="67A059CC"/>
    <w:rsid w:val="6B4D1ED2"/>
    <w:rsid w:val="6CCE696C"/>
    <w:rsid w:val="6D044A57"/>
    <w:rsid w:val="71300CCF"/>
    <w:rsid w:val="744B52D0"/>
    <w:rsid w:val="74DE5814"/>
    <w:rsid w:val="780D5B9C"/>
    <w:rsid w:val="78BB0FE6"/>
    <w:rsid w:val="7A375525"/>
    <w:rsid w:val="7AC33E96"/>
    <w:rsid w:val="7F8864C8"/>
    <w:rsid w:val="7FFC0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jc w:val="center"/>
      <w:outlineLvl w:val="0"/>
    </w:pPr>
    <w:rPr>
      <w:b/>
      <w:kern w:val="44"/>
      <w:sz w:val="20"/>
    </w:rPr>
  </w:style>
  <w:style w:type="paragraph" w:styleId="3">
    <w:name w:val="heading 2"/>
    <w:basedOn w:val="1"/>
    <w:next w:val="1"/>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4">
    <w:name w:val="heading 3"/>
    <w:basedOn w:val="1"/>
    <w:next w:val="1"/>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5">
    <w:name w:val="heading 4"/>
    <w:basedOn w:val="1"/>
    <w:next w:val="1"/>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Indent"/>
    <w:basedOn w:val="1"/>
    <w:qFormat/>
    <w:uiPriority w:val="0"/>
    <w:pPr>
      <w:spacing w:line="360" w:lineRule="auto"/>
      <w:ind w:left="540" w:leftChars="257" w:firstLine="360" w:firstLineChars="150"/>
    </w:pPr>
    <w:rPr>
      <w:kern w:val="0"/>
      <w:sz w:val="20"/>
    </w:rPr>
  </w:style>
  <w:style w:type="paragraph" w:styleId="7">
    <w:name w:val="Plain Text"/>
    <w:basedOn w:val="1"/>
    <w:unhideWhenUsed/>
    <w:qFormat/>
    <w:uiPriority w:val="99"/>
    <w:pPr>
      <w:adjustRightInd w:val="0"/>
      <w:spacing w:line="312" w:lineRule="atLeast"/>
    </w:pPr>
    <w:rPr>
      <w:rFonts w:ascii="宋体" w:hAnsi="Courier New"/>
      <w:kern w:val="0"/>
      <w:sz w:val="20"/>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列表段落1"/>
    <w:basedOn w:val="1"/>
    <w:qFormat/>
    <w:uiPriority w:val="0"/>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124</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2020-05-18T02:54:00Z</dcterms:created>
  <dc:creator>赵煦丹</dc:creator>
  <cp:lastModifiedBy>‍赵煦丹</cp:lastModifiedBy>
  <dcterms:modified xsi:type="dcterms:W3CDTF">2020-06-04T05:14:07Z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